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44"/>
          <w:szCs w:val="44"/>
        </w:rPr>
      </w:pPr>
      <w:bookmarkStart w:id="0" w:name="_Toc287620665"/>
    </w:p>
    <w:p>
      <w:pPr>
        <w:spacing w:line="480" w:lineRule="exact"/>
        <w:ind w:firstLine="3080" w:firstLineChars="700"/>
        <w:rPr>
          <w:rFonts w:ascii="方正小标宋简体" w:eastAsia="方正小标宋简体"/>
          <w:bCs/>
          <w:sz w:val="44"/>
          <w:szCs w:val="44"/>
          <w:u w:val="single"/>
        </w:rPr>
      </w:pPr>
      <w:r>
        <w:rPr>
          <w:rFonts w:hint="eastAsia" w:ascii="方正小标宋简体" w:eastAsia="方正小标宋简体"/>
          <w:bCs/>
          <w:sz w:val="44"/>
          <w:szCs w:val="44"/>
          <w:u w:val="single"/>
        </w:rPr>
        <w:t>档案整理服务采购</w:t>
      </w:r>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jc w:val="center"/>
        <w:rPr>
          <w:rFonts w:ascii="宋体" w:hAnsi="宋体"/>
          <w:kern w:val="0"/>
          <w:sz w:val="72"/>
          <w:szCs w:val="72"/>
        </w:rPr>
      </w:pPr>
      <w:r>
        <w:rPr>
          <w:rFonts w:hint="eastAsia" w:ascii="宋体" w:hAnsi="宋体"/>
          <w:kern w:val="0"/>
          <w:sz w:val="72"/>
          <w:szCs w:val="72"/>
        </w:rPr>
        <w:t xml:space="preserve"> 采 购 </w:t>
      </w:r>
      <w:r>
        <w:rPr>
          <w:rFonts w:ascii="宋体" w:hAnsi="宋体"/>
          <w:kern w:val="0"/>
          <w:sz w:val="72"/>
          <w:szCs w:val="72"/>
        </w:rPr>
        <w:t>文</w:t>
      </w:r>
      <w:r>
        <w:rPr>
          <w:rFonts w:hint="eastAsia" w:ascii="宋体" w:hAnsi="宋体"/>
          <w:kern w:val="0"/>
          <w:sz w:val="72"/>
          <w:szCs w:val="72"/>
        </w:rPr>
        <w:t xml:space="preserve"> </w:t>
      </w:r>
      <w:r>
        <w:rPr>
          <w:rFonts w:ascii="宋体" w:hAnsi="宋体"/>
          <w:kern w:val="0"/>
          <w:sz w:val="72"/>
          <w:szCs w:val="72"/>
        </w:rPr>
        <w:t>件</w:t>
      </w:r>
    </w:p>
    <w:p>
      <w:pPr>
        <w:autoSpaceDE w:val="0"/>
        <w:autoSpaceDN w:val="0"/>
        <w:adjustRightInd w:val="0"/>
        <w:snapToGrid w:val="0"/>
        <w:spacing w:line="360" w:lineRule="auto"/>
        <w:jc w:val="left"/>
        <w:rPr>
          <w:rFonts w:ascii="宋体" w:hAnsi="宋体"/>
          <w:kern w:val="0"/>
          <w:sz w:val="10"/>
          <w:szCs w:val="10"/>
        </w:rPr>
      </w:pPr>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rPr>
          <w:rFonts w:ascii="宋体" w:hAnsi="宋体"/>
          <w:kern w:val="0"/>
          <w:sz w:val="20"/>
          <w:szCs w:val="20"/>
        </w:rPr>
      </w:pPr>
    </w:p>
    <w:p>
      <w:pPr>
        <w:autoSpaceDE w:val="0"/>
        <w:autoSpaceDN w:val="0"/>
        <w:adjustRightInd w:val="0"/>
        <w:snapToGrid w:val="0"/>
        <w:spacing w:line="360" w:lineRule="auto"/>
        <w:jc w:val="left"/>
        <w:rPr>
          <w:rFonts w:ascii="宋体" w:hAnsi="宋体"/>
          <w:kern w:val="0"/>
          <w:sz w:val="20"/>
          <w:szCs w:val="20"/>
        </w:rPr>
      </w:pPr>
    </w:p>
    <w:p>
      <w:pPr>
        <w:autoSpaceDE w:val="0"/>
        <w:autoSpaceDN w:val="0"/>
        <w:adjustRightInd w:val="0"/>
        <w:snapToGrid w:val="0"/>
        <w:spacing w:line="360" w:lineRule="auto"/>
        <w:rPr>
          <w:rFonts w:ascii="宋体" w:hAnsi="宋体"/>
          <w:kern w:val="0"/>
          <w:sz w:val="20"/>
          <w:szCs w:val="20"/>
        </w:rPr>
      </w:pPr>
    </w:p>
    <w:p>
      <w:pPr>
        <w:autoSpaceDE w:val="0"/>
        <w:autoSpaceDN w:val="0"/>
        <w:adjustRightInd w:val="0"/>
        <w:snapToGrid w:val="0"/>
        <w:spacing w:line="360" w:lineRule="auto"/>
        <w:rPr>
          <w:rFonts w:ascii="宋体" w:hAnsi="宋体"/>
          <w:kern w:val="0"/>
          <w:sz w:val="20"/>
          <w:szCs w:val="20"/>
        </w:rPr>
      </w:pPr>
    </w:p>
    <w:p>
      <w:pPr>
        <w:autoSpaceDE w:val="0"/>
        <w:autoSpaceDN w:val="0"/>
        <w:adjustRightInd w:val="0"/>
        <w:snapToGrid w:val="0"/>
        <w:spacing w:line="360" w:lineRule="auto"/>
        <w:rPr>
          <w:rFonts w:ascii="宋体" w:hAnsi="宋体"/>
          <w:kern w:val="0"/>
          <w:sz w:val="20"/>
          <w:szCs w:val="20"/>
        </w:rPr>
      </w:pPr>
    </w:p>
    <w:p>
      <w:pPr>
        <w:tabs>
          <w:tab w:val="left" w:pos="6219"/>
        </w:tabs>
        <w:autoSpaceDE w:val="0"/>
        <w:autoSpaceDN w:val="0"/>
        <w:adjustRightInd w:val="0"/>
        <w:snapToGrid w:val="0"/>
        <w:spacing w:line="360" w:lineRule="auto"/>
        <w:jc w:val="center"/>
        <w:rPr>
          <w:rFonts w:ascii="宋体" w:hAnsi="宋体"/>
          <w:bCs/>
          <w:w w:val="99"/>
          <w:kern w:val="0"/>
          <w:sz w:val="28"/>
          <w:szCs w:val="28"/>
        </w:rPr>
      </w:pPr>
      <w:r>
        <w:rPr>
          <w:rFonts w:ascii="宋体" w:hAnsi="宋体"/>
          <w:bCs/>
          <w:w w:val="99"/>
          <w:kern w:val="0"/>
          <w:sz w:val="28"/>
          <w:szCs w:val="28"/>
        </w:rPr>
        <w:t>招</w:t>
      </w:r>
      <w:r>
        <w:rPr>
          <w:rFonts w:hint="eastAsia" w:ascii="宋体" w:hAnsi="宋体"/>
          <w:bCs/>
          <w:w w:val="99"/>
          <w:kern w:val="0"/>
          <w:sz w:val="28"/>
          <w:szCs w:val="28"/>
        </w:rPr>
        <w:t xml:space="preserve">   </w:t>
      </w:r>
      <w:r>
        <w:rPr>
          <w:rFonts w:ascii="宋体" w:hAnsi="宋体"/>
          <w:bCs/>
          <w:w w:val="99"/>
          <w:kern w:val="0"/>
          <w:sz w:val="28"/>
          <w:szCs w:val="28"/>
        </w:rPr>
        <w:t>标</w:t>
      </w:r>
      <w:r>
        <w:rPr>
          <w:rFonts w:hint="eastAsia" w:ascii="宋体" w:hAnsi="宋体"/>
          <w:bCs/>
          <w:w w:val="99"/>
          <w:kern w:val="0"/>
          <w:sz w:val="28"/>
          <w:szCs w:val="28"/>
        </w:rPr>
        <w:t xml:space="preserve">   </w:t>
      </w:r>
      <w:r>
        <w:rPr>
          <w:rFonts w:ascii="宋体" w:hAnsi="宋体"/>
          <w:bCs/>
          <w:w w:val="99"/>
          <w:kern w:val="0"/>
          <w:sz w:val="28"/>
          <w:szCs w:val="28"/>
        </w:rPr>
        <w:t>人：</w:t>
      </w:r>
      <w:r>
        <w:rPr>
          <w:rFonts w:hint="eastAsia" w:eastAsia="方正仿宋_GBK"/>
          <w:sz w:val="32"/>
          <w:szCs w:val="32"/>
          <w:u w:val="single"/>
        </w:rPr>
        <w:t>重庆经开区开发建设有限公司</w:t>
      </w:r>
      <w:r>
        <w:rPr>
          <w:rFonts w:ascii="宋体" w:hAnsi="宋体"/>
          <w:bCs/>
          <w:w w:val="99"/>
          <w:kern w:val="0"/>
          <w:sz w:val="28"/>
          <w:szCs w:val="28"/>
        </w:rPr>
        <w:t>（盖单位法人章）</w:t>
      </w:r>
    </w:p>
    <w:p>
      <w:pPr>
        <w:autoSpaceDE w:val="0"/>
        <w:autoSpaceDN w:val="0"/>
        <w:adjustRightInd w:val="0"/>
        <w:snapToGrid w:val="0"/>
        <w:spacing w:line="360" w:lineRule="auto"/>
        <w:jc w:val="center"/>
        <w:rPr>
          <w:rFonts w:ascii="宋体" w:hAnsi="宋体"/>
          <w:bCs/>
          <w:kern w:val="0"/>
          <w:sz w:val="20"/>
          <w:szCs w:val="20"/>
        </w:rPr>
      </w:pPr>
    </w:p>
    <w:p>
      <w:pPr>
        <w:autoSpaceDE w:val="0"/>
        <w:autoSpaceDN w:val="0"/>
        <w:adjustRightInd w:val="0"/>
        <w:snapToGrid w:val="0"/>
        <w:spacing w:line="360" w:lineRule="auto"/>
        <w:jc w:val="center"/>
        <w:rPr>
          <w:rFonts w:ascii="宋体" w:hAnsi="宋体"/>
          <w:bCs/>
          <w:kern w:val="0"/>
          <w:sz w:val="28"/>
          <w:szCs w:val="28"/>
        </w:rPr>
      </w:pPr>
    </w:p>
    <w:p>
      <w:pPr>
        <w:autoSpaceDE w:val="0"/>
        <w:autoSpaceDN w:val="0"/>
        <w:adjustRightInd w:val="0"/>
        <w:snapToGrid w:val="0"/>
        <w:spacing w:line="360" w:lineRule="auto"/>
        <w:jc w:val="center"/>
        <w:rPr>
          <w:rFonts w:ascii="宋体" w:hAnsi="宋体"/>
          <w:bCs/>
          <w:kern w:val="0"/>
          <w:sz w:val="28"/>
          <w:szCs w:val="28"/>
        </w:rPr>
      </w:pPr>
    </w:p>
    <w:p>
      <w:pPr>
        <w:autoSpaceDE w:val="0"/>
        <w:autoSpaceDN w:val="0"/>
        <w:adjustRightInd w:val="0"/>
        <w:snapToGrid w:val="0"/>
        <w:spacing w:line="360" w:lineRule="auto"/>
        <w:rPr>
          <w:rFonts w:ascii="宋体" w:hAnsi="宋体"/>
          <w:bCs/>
          <w:kern w:val="0"/>
          <w:sz w:val="20"/>
          <w:szCs w:val="20"/>
        </w:rPr>
      </w:pPr>
    </w:p>
    <w:p>
      <w:pPr>
        <w:tabs>
          <w:tab w:val="left" w:pos="6252"/>
        </w:tabs>
        <w:autoSpaceDE w:val="0"/>
        <w:autoSpaceDN w:val="0"/>
        <w:adjustRightInd w:val="0"/>
        <w:snapToGrid w:val="0"/>
        <w:spacing w:line="360" w:lineRule="auto"/>
        <w:jc w:val="center"/>
        <w:rPr>
          <w:rFonts w:ascii="宋体" w:hAnsi="宋体"/>
          <w:bCs/>
          <w:spacing w:val="8"/>
          <w:kern w:val="0"/>
          <w:sz w:val="28"/>
          <w:szCs w:val="28"/>
        </w:rPr>
        <w:sectPr>
          <w:pgSz w:w="11907" w:h="16840"/>
          <w:pgMar w:top="1304" w:right="1134" w:bottom="1304" w:left="1304" w:header="851" w:footer="992" w:gutter="0"/>
          <w:pgNumType w:fmt="numberInDash" w:start="1"/>
          <w:cols w:space="720" w:num="1"/>
          <w:docGrid w:linePitch="312" w:charSpace="0"/>
        </w:sectPr>
      </w:pPr>
      <w:bookmarkStart w:id="1" w:name="_Toc509218549"/>
      <w:bookmarkStart w:id="2" w:name="_Toc536796736"/>
      <w:bookmarkStart w:id="3" w:name="_Toc536621766"/>
      <w:bookmarkStart w:id="4" w:name="_Toc13210649"/>
      <w:bookmarkStart w:id="5" w:name="_Toc536797277"/>
      <w:r>
        <w:rPr>
          <w:rFonts w:ascii="宋体" w:hAnsi="宋体"/>
          <w:bCs/>
          <w:spacing w:val="8"/>
          <w:kern w:val="0"/>
          <w:sz w:val="28"/>
          <w:szCs w:val="28"/>
          <w:u w:val="single"/>
        </w:rPr>
        <w:t>2023</w:t>
      </w:r>
      <w:r>
        <w:rPr>
          <w:rFonts w:ascii="宋体" w:hAnsi="宋体"/>
          <w:bCs/>
          <w:spacing w:val="8"/>
          <w:kern w:val="0"/>
          <w:sz w:val="28"/>
          <w:szCs w:val="28"/>
        </w:rPr>
        <w:t>年</w:t>
      </w:r>
      <w:r>
        <w:rPr>
          <w:rFonts w:ascii="宋体" w:hAnsi="宋体"/>
          <w:bCs/>
          <w:spacing w:val="8"/>
          <w:kern w:val="0"/>
          <w:sz w:val="28"/>
          <w:szCs w:val="28"/>
          <w:u w:val="single"/>
        </w:rPr>
        <w:t xml:space="preserve"> 7 </w:t>
      </w:r>
      <w:r>
        <w:rPr>
          <w:rFonts w:ascii="宋体" w:hAnsi="宋体"/>
          <w:bCs/>
          <w:spacing w:val="8"/>
          <w:kern w:val="0"/>
          <w:sz w:val="28"/>
          <w:szCs w:val="28"/>
        </w:rPr>
        <w:t>月</w:t>
      </w:r>
      <w:r>
        <w:rPr>
          <w:rFonts w:ascii="宋体" w:hAnsi="宋体"/>
          <w:bCs/>
          <w:spacing w:val="8"/>
          <w:kern w:val="0"/>
          <w:sz w:val="28"/>
          <w:szCs w:val="28"/>
          <w:u w:val="single"/>
        </w:rPr>
        <w:t xml:space="preserve"> 2</w:t>
      </w:r>
      <w:r>
        <w:rPr>
          <w:rFonts w:hint="eastAsia" w:ascii="宋体" w:hAnsi="宋体"/>
          <w:bCs/>
          <w:spacing w:val="8"/>
          <w:kern w:val="0"/>
          <w:sz w:val="28"/>
          <w:szCs w:val="28"/>
          <w:u w:val="single"/>
          <w:lang w:val="en-US" w:eastAsia="zh-CN"/>
        </w:rPr>
        <w:t>4</w:t>
      </w:r>
      <w:r>
        <w:rPr>
          <w:rFonts w:ascii="宋体" w:hAnsi="宋体"/>
          <w:bCs/>
          <w:spacing w:val="8"/>
          <w:kern w:val="0"/>
          <w:sz w:val="28"/>
          <w:szCs w:val="28"/>
          <w:u w:val="single"/>
        </w:rPr>
        <w:t xml:space="preserve">  </w:t>
      </w:r>
      <w:r>
        <w:rPr>
          <w:rFonts w:ascii="宋体" w:hAnsi="宋体"/>
          <w:bCs/>
          <w:spacing w:val="8"/>
          <w:kern w:val="0"/>
          <w:sz w:val="28"/>
          <w:szCs w:val="28"/>
        </w:rPr>
        <w:t>日</w:t>
      </w:r>
      <w:bookmarkEnd w:id="1"/>
      <w:bookmarkEnd w:id="2"/>
      <w:bookmarkEnd w:id="3"/>
      <w:bookmarkEnd w:id="4"/>
      <w:bookmarkEnd w:id="5"/>
    </w:p>
    <w:bookmarkEnd w:id="0"/>
    <w:p>
      <w:pPr>
        <w:spacing w:line="360" w:lineRule="auto"/>
        <w:rPr>
          <w:rFonts w:ascii="宋体" w:hAnsi="宋体"/>
        </w:rPr>
      </w:pPr>
    </w:p>
    <w:p>
      <w:pPr>
        <w:pStyle w:val="3"/>
        <w:spacing w:before="0" w:after="0" w:line="592" w:lineRule="exact"/>
        <w:jc w:val="center"/>
        <w:rPr>
          <w:rFonts w:ascii="宋体" w:hAnsi="宋体"/>
          <w:snapToGrid w:val="0"/>
          <w:kern w:val="0"/>
          <w:szCs w:val="21"/>
        </w:rPr>
      </w:pPr>
      <w:bookmarkStart w:id="6" w:name="_Toc28381"/>
      <w:bookmarkStart w:id="7" w:name="_Toc430530432"/>
      <w:bookmarkStart w:id="8" w:name="_Toc224103315"/>
      <w:bookmarkStart w:id="9" w:name="_Toc287620683"/>
      <w:bookmarkStart w:id="10" w:name="_Toc287607744"/>
      <w:r>
        <w:rPr>
          <w:rFonts w:ascii="宋体" w:hAnsi="宋体"/>
          <w:snapToGrid w:val="0"/>
          <w:kern w:val="0"/>
        </w:rPr>
        <w:t>第</w:t>
      </w:r>
      <w:r>
        <w:rPr>
          <w:rFonts w:hint="eastAsia" w:ascii="宋体" w:hAnsi="宋体"/>
          <w:snapToGrid w:val="0"/>
          <w:kern w:val="0"/>
        </w:rPr>
        <w:t>一</w:t>
      </w:r>
      <w:r>
        <w:rPr>
          <w:rFonts w:ascii="宋体" w:hAnsi="宋体"/>
          <w:snapToGrid w:val="0"/>
          <w:kern w:val="0"/>
        </w:rPr>
        <w:t>章  投标人须知</w:t>
      </w:r>
      <w:bookmarkEnd w:id="6"/>
      <w:bookmarkEnd w:id="7"/>
      <w:bookmarkEnd w:id="8"/>
      <w:bookmarkEnd w:id="9"/>
      <w:bookmarkEnd w:id="10"/>
      <w:bookmarkStart w:id="11" w:name="_Toc277082551"/>
      <w:bookmarkStart w:id="12" w:name="_Toc224103316"/>
      <w:bookmarkStart w:id="13" w:name="_Toc287607745"/>
      <w:bookmarkStart w:id="14" w:name="_Toc430530433"/>
      <w:bookmarkStart w:id="15" w:name="_Toc287620684"/>
    </w:p>
    <w:p>
      <w:pPr>
        <w:pStyle w:val="4"/>
        <w:spacing w:before="100" w:after="100" w:line="592" w:lineRule="exact"/>
        <w:rPr>
          <w:rFonts w:ascii="宋体" w:hAnsi="宋体"/>
        </w:rPr>
      </w:pPr>
      <w:bookmarkStart w:id="16" w:name="_Toc509218708"/>
      <w:bookmarkStart w:id="17" w:name="_Toc32562"/>
      <w:r>
        <w:rPr>
          <w:rFonts w:hint="eastAsia" w:ascii="宋体" w:hAnsi="宋体"/>
        </w:rPr>
        <w:t>投标人须知前附表</w:t>
      </w:r>
      <w:bookmarkEnd w:id="11"/>
      <w:bookmarkEnd w:id="12"/>
      <w:bookmarkEnd w:id="13"/>
      <w:bookmarkEnd w:id="14"/>
      <w:bookmarkEnd w:id="15"/>
      <w:bookmarkEnd w:id="16"/>
      <w:bookmarkEnd w:id="17"/>
    </w:p>
    <w:p>
      <w:pPr>
        <w:spacing w:line="360" w:lineRule="auto"/>
        <w:ind w:firstLine="420" w:firstLineChars="200"/>
        <w:rPr>
          <w:rFonts w:ascii="宋体" w:hAnsi="宋体"/>
          <w:szCs w:val="21"/>
        </w:rPr>
      </w:pPr>
      <w:r>
        <w:rPr>
          <w:rFonts w:ascii="宋体" w:hAnsi="宋体"/>
          <w:szCs w:val="21"/>
        </w:rPr>
        <w:t>正文内容不允许修改。若投标人须知前附表与正文不一致的地方，以投标人须知前附表为准。</w:t>
      </w:r>
    </w:p>
    <w:tbl>
      <w:tblPr>
        <w:tblStyle w:val="45"/>
        <w:tblW w:w="937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1451"/>
        <w:gridCol w:w="668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40" w:type="dxa"/>
            <w:vAlign w:val="center"/>
          </w:tcPr>
          <w:p>
            <w:pPr>
              <w:snapToGrid w:val="0"/>
              <w:spacing w:line="400" w:lineRule="exact"/>
              <w:jc w:val="center"/>
              <w:rPr>
                <w:rFonts w:ascii="宋体" w:hAnsi="宋体"/>
                <w:b/>
                <w:kern w:val="0"/>
                <w:szCs w:val="21"/>
              </w:rPr>
            </w:pPr>
            <w:r>
              <w:rPr>
                <w:rFonts w:ascii="宋体" w:hAnsi="宋体"/>
                <w:b/>
                <w:kern w:val="0"/>
                <w:szCs w:val="21"/>
              </w:rPr>
              <w:t>条 款 号</w:t>
            </w:r>
          </w:p>
        </w:tc>
        <w:tc>
          <w:tcPr>
            <w:tcW w:w="1451" w:type="dxa"/>
            <w:vAlign w:val="center"/>
          </w:tcPr>
          <w:p>
            <w:pPr>
              <w:snapToGrid w:val="0"/>
              <w:spacing w:line="400" w:lineRule="exact"/>
              <w:jc w:val="center"/>
              <w:rPr>
                <w:rFonts w:ascii="宋体" w:hAnsi="宋体"/>
                <w:b/>
                <w:kern w:val="0"/>
                <w:szCs w:val="21"/>
              </w:rPr>
            </w:pPr>
            <w:r>
              <w:rPr>
                <w:rFonts w:ascii="宋体" w:hAnsi="宋体"/>
                <w:b/>
                <w:kern w:val="0"/>
                <w:szCs w:val="21"/>
              </w:rPr>
              <w:t>条款名称</w:t>
            </w:r>
          </w:p>
        </w:tc>
        <w:tc>
          <w:tcPr>
            <w:tcW w:w="6683" w:type="dxa"/>
            <w:vAlign w:val="center"/>
          </w:tcPr>
          <w:p>
            <w:pPr>
              <w:snapToGrid w:val="0"/>
              <w:spacing w:line="400" w:lineRule="exact"/>
              <w:jc w:val="center"/>
              <w:rPr>
                <w:rFonts w:ascii="宋体" w:hAnsi="宋体"/>
                <w:b/>
                <w:kern w:val="0"/>
                <w:szCs w:val="21"/>
              </w:rPr>
            </w:pPr>
            <w:r>
              <w:rPr>
                <w:rFonts w:ascii="宋体" w:hAnsi="宋体"/>
                <w:b/>
                <w:kern w:val="0"/>
                <w:szCs w:val="21"/>
              </w:rPr>
              <w:t>编  列  内  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ascii="宋体" w:hAnsi="宋体"/>
                <w:kern w:val="0"/>
                <w:szCs w:val="21"/>
              </w:rPr>
              <w:t>1.1.2</w:t>
            </w:r>
          </w:p>
        </w:tc>
        <w:tc>
          <w:tcPr>
            <w:tcW w:w="1451" w:type="dxa"/>
            <w:vAlign w:val="center"/>
          </w:tcPr>
          <w:p>
            <w:pPr>
              <w:snapToGrid w:val="0"/>
              <w:spacing w:line="400" w:lineRule="exact"/>
              <w:jc w:val="center"/>
              <w:rPr>
                <w:rFonts w:ascii="宋体" w:hAnsi="宋体"/>
                <w:kern w:val="0"/>
                <w:szCs w:val="21"/>
              </w:rPr>
            </w:pPr>
            <w:r>
              <w:rPr>
                <w:rFonts w:hint="eastAsia" w:ascii="宋体" w:hAnsi="宋体"/>
                <w:kern w:val="0"/>
                <w:szCs w:val="21"/>
              </w:rPr>
              <w:t>采购</w:t>
            </w:r>
            <w:r>
              <w:rPr>
                <w:rFonts w:ascii="宋体" w:hAnsi="宋体"/>
                <w:kern w:val="0"/>
                <w:szCs w:val="21"/>
              </w:rPr>
              <w:t>人</w:t>
            </w:r>
          </w:p>
        </w:tc>
        <w:tc>
          <w:tcPr>
            <w:tcW w:w="6683" w:type="dxa"/>
            <w:vAlign w:val="center"/>
          </w:tcPr>
          <w:p>
            <w:pPr>
              <w:snapToGrid w:val="0"/>
              <w:spacing w:line="400" w:lineRule="exact"/>
              <w:rPr>
                <w:rFonts w:ascii="宋体" w:hAnsi="宋体"/>
                <w:kern w:val="0"/>
                <w:szCs w:val="21"/>
              </w:rPr>
            </w:pPr>
            <w:r>
              <w:rPr>
                <w:rFonts w:ascii="宋体" w:hAnsi="宋体"/>
                <w:kern w:val="0"/>
                <w:szCs w:val="21"/>
              </w:rPr>
              <w:t>名称：重庆经开区开发建设有限公司</w:t>
            </w:r>
          </w:p>
          <w:p>
            <w:pPr>
              <w:snapToGrid w:val="0"/>
              <w:spacing w:line="400" w:lineRule="exact"/>
              <w:rPr>
                <w:rFonts w:ascii="宋体" w:hAnsi="宋体"/>
                <w:kern w:val="0"/>
                <w:szCs w:val="21"/>
              </w:rPr>
            </w:pPr>
            <w:r>
              <w:rPr>
                <w:rFonts w:ascii="宋体" w:hAnsi="宋体"/>
                <w:kern w:val="0"/>
                <w:szCs w:val="21"/>
              </w:rPr>
              <w:t>地址：</w:t>
            </w:r>
            <w:r>
              <w:rPr>
                <w:rFonts w:hint="eastAsia" w:ascii="宋体" w:hAnsi="宋体"/>
                <w:snapToGrid w:val="0"/>
                <w:kern w:val="0"/>
                <w:szCs w:val="21"/>
              </w:rPr>
              <w:t>重庆市南岸区茶园江桥路一号附1号</w:t>
            </w:r>
          </w:p>
          <w:p>
            <w:pPr>
              <w:snapToGrid w:val="0"/>
              <w:spacing w:line="400" w:lineRule="exact"/>
              <w:rPr>
                <w:rFonts w:ascii="宋体" w:hAnsi="宋体"/>
                <w:kern w:val="0"/>
                <w:szCs w:val="21"/>
              </w:rPr>
            </w:pPr>
            <w:r>
              <w:rPr>
                <w:rFonts w:ascii="宋体" w:hAnsi="宋体"/>
                <w:kern w:val="0"/>
                <w:szCs w:val="21"/>
              </w:rPr>
              <w:t>联系人：</w:t>
            </w:r>
            <w:r>
              <w:rPr>
                <w:rFonts w:hint="eastAsia" w:ascii="宋体" w:hAnsi="宋体"/>
                <w:kern w:val="0"/>
                <w:szCs w:val="21"/>
              </w:rPr>
              <w:t>彭女士</w:t>
            </w:r>
          </w:p>
          <w:p>
            <w:pPr>
              <w:snapToGrid w:val="0"/>
              <w:spacing w:line="400" w:lineRule="exact"/>
              <w:rPr>
                <w:rFonts w:ascii="宋体" w:hAnsi="宋体"/>
                <w:kern w:val="0"/>
                <w:szCs w:val="21"/>
              </w:rPr>
            </w:pPr>
            <w:r>
              <w:rPr>
                <w:rFonts w:ascii="宋体" w:hAnsi="宋体"/>
                <w:kern w:val="0"/>
                <w:szCs w:val="21"/>
              </w:rPr>
              <w:t>电话：</w:t>
            </w:r>
            <w:r>
              <w:rPr>
                <w:rFonts w:hint="eastAsia" w:ascii="宋体" w:hAnsi="宋体"/>
                <w:kern w:val="0"/>
                <w:szCs w:val="21"/>
              </w:rPr>
              <w:t>（023）62633026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ascii="宋体" w:hAnsi="宋体"/>
                <w:kern w:val="0"/>
                <w:szCs w:val="21"/>
              </w:rPr>
              <w:t>1.1.</w:t>
            </w:r>
            <w:r>
              <w:rPr>
                <w:rFonts w:hint="eastAsia" w:ascii="宋体" w:hAnsi="宋体"/>
                <w:kern w:val="0"/>
                <w:szCs w:val="21"/>
              </w:rPr>
              <w:t>3</w:t>
            </w:r>
          </w:p>
        </w:tc>
        <w:tc>
          <w:tcPr>
            <w:tcW w:w="1451" w:type="dxa"/>
            <w:vAlign w:val="center"/>
          </w:tcPr>
          <w:p>
            <w:pPr>
              <w:snapToGrid w:val="0"/>
              <w:spacing w:line="400" w:lineRule="exact"/>
              <w:jc w:val="center"/>
              <w:rPr>
                <w:rFonts w:ascii="宋体" w:hAnsi="宋体"/>
                <w:kern w:val="0"/>
                <w:szCs w:val="21"/>
              </w:rPr>
            </w:pPr>
            <w:r>
              <w:rPr>
                <w:rFonts w:hint="eastAsia" w:ascii="宋体" w:hAnsi="宋体"/>
                <w:kern w:val="0"/>
                <w:szCs w:val="21"/>
              </w:rPr>
              <w:t>服务</w:t>
            </w:r>
            <w:r>
              <w:rPr>
                <w:rFonts w:ascii="宋体" w:hAnsi="宋体"/>
                <w:kern w:val="0"/>
                <w:szCs w:val="21"/>
              </w:rPr>
              <w:t>名称</w:t>
            </w:r>
          </w:p>
        </w:tc>
        <w:tc>
          <w:tcPr>
            <w:tcW w:w="6683" w:type="dxa"/>
            <w:vAlign w:val="center"/>
          </w:tcPr>
          <w:p>
            <w:pPr>
              <w:snapToGrid w:val="0"/>
              <w:spacing w:line="400" w:lineRule="exact"/>
              <w:jc w:val="left"/>
              <w:rPr>
                <w:rFonts w:ascii="宋体" w:hAnsi="宋体"/>
                <w:szCs w:val="21"/>
              </w:rPr>
            </w:pPr>
            <w:r>
              <w:rPr>
                <w:rFonts w:hint="eastAsia" w:ascii="宋体" w:hAnsi="宋体"/>
                <w:snapToGrid w:val="0"/>
                <w:kern w:val="0"/>
                <w:szCs w:val="21"/>
                <w:u w:val="single"/>
              </w:rPr>
              <w:t>档案整理服务采购</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ascii="宋体" w:hAnsi="宋体"/>
                <w:kern w:val="0"/>
                <w:szCs w:val="21"/>
              </w:rPr>
              <w:t>1.1.</w:t>
            </w:r>
            <w:r>
              <w:rPr>
                <w:rFonts w:hint="eastAsia" w:ascii="宋体" w:hAnsi="宋体"/>
                <w:kern w:val="0"/>
                <w:szCs w:val="21"/>
              </w:rPr>
              <w:t>4</w:t>
            </w:r>
          </w:p>
        </w:tc>
        <w:tc>
          <w:tcPr>
            <w:tcW w:w="1451" w:type="dxa"/>
            <w:vAlign w:val="center"/>
          </w:tcPr>
          <w:p>
            <w:pPr>
              <w:snapToGrid w:val="0"/>
              <w:spacing w:line="400" w:lineRule="exact"/>
              <w:jc w:val="center"/>
              <w:rPr>
                <w:rFonts w:ascii="宋体" w:hAnsi="宋体"/>
                <w:kern w:val="0"/>
                <w:szCs w:val="21"/>
              </w:rPr>
            </w:pPr>
            <w:r>
              <w:rPr>
                <w:rFonts w:hint="eastAsia" w:ascii="宋体" w:hAnsi="宋体"/>
                <w:kern w:val="0"/>
                <w:szCs w:val="21"/>
              </w:rPr>
              <w:t>服务</w:t>
            </w:r>
            <w:r>
              <w:rPr>
                <w:rFonts w:ascii="宋体" w:hAnsi="宋体"/>
                <w:kern w:val="0"/>
                <w:szCs w:val="21"/>
              </w:rPr>
              <w:t>地点</w:t>
            </w:r>
          </w:p>
        </w:tc>
        <w:tc>
          <w:tcPr>
            <w:tcW w:w="6683" w:type="dxa"/>
            <w:vAlign w:val="center"/>
          </w:tcPr>
          <w:p>
            <w:pPr>
              <w:snapToGrid w:val="0"/>
              <w:spacing w:line="400" w:lineRule="exact"/>
              <w:jc w:val="left"/>
              <w:rPr>
                <w:rFonts w:ascii="宋体" w:hAnsi="宋体"/>
                <w:szCs w:val="21"/>
              </w:rPr>
            </w:pPr>
            <w:r>
              <w:rPr>
                <w:rFonts w:hint="eastAsia" w:ascii="宋体" w:hAnsi="宋体"/>
                <w:snapToGrid w:val="0"/>
                <w:kern w:val="0"/>
                <w:szCs w:val="21"/>
                <w:u w:val="single"/>
              </w:rPr>
              <w:t>重庆市南岸区江桥路1号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hint="eastAsia" w:ascii="宋体" w:hAnsi="宋体"/>
                <w:kern w:val="0"/>
                <w:szCs w:val="21"/>
              </w:rPr>
              <w:t>1.3.1</w:t>
            </w:r>
          </w:p>
        </w:tc>
        <w:tc>
          <w:tcPr>
            <w:tcW w:w="1451" w:type="dxa"/>
            <w:vAlign w:val="center"/>
          </w:tcPr>
          <w:p>
            <w:pPr>
              <w:snapToGrid w:val="0"/>
              <w:spacing w:line="400" w:lineRule="exact"/>
              <w:jc w:val="center"/>
              <w:rPr>
                <w:rFonts w:ascii="宋体" w:hAnsi="宋体"/>
                <w:kern w:val="0"/>
                <w:szCs w:val="21"/>
              </w:rPr>
            </w:pPr>
            <w:r>
              <w:rPr>
                <w:rFonts w:hint="eastAsia" w:ascii="宋体" w:hAnsi="宋体"/>
                <w:kern w:val="0"/>
                <w:szCs w:val="21"/>
              </w:rPr>
              <w:t>采购服务</w:t>
            </w:r>
            <w:r>
              <w:rPr>
                <w:rFonts w:ascii="宋体" w:hAnsi="宋体"/>
                <w:kern w:val="0"/>
                <w:szCs w:val="21"/>
              </w:rPr>
              <w:t>范围</w:t>
            </w:r>
          </w:p>
        </w:tc>
        <w:tc>
          <w:tcPr>
            <w:tcW w:w="6683" w:type="dxa"/>
            <w:vAlign w:val="center"/>
          </w:tcPr>
          <w:p>
            <w:pPr>
              <w:snapToGrid w:val="0"/>
              <w:spacing w:line="400" w:lineRule="exact"/>
              <w:rPr>
                <w:rFonts w:ascii="宋体" w:hAnsi="宋体"/>
                <w:szCs w:val="21"/>
              </w:rPr>
            </w:pPr>
            <w:r>
              <w:rPr>
                <w:rFonts w:hint="eastAsia" w:ascii="宋体" w:hAnsi="宋体"/>
                <w:szCs w:val="21"/>
              </w:rPr>
              <w:t>公司现有除人事、财务外的所有档案资料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ascii="宋体" w:hAnsi="宋体"/>
                <w:kern w:val="0"/>
                <w:szCs w:val="21"/>
              </w:rPr>
              <w:t>1.3.2</w:t>
            </w:r>
          </w:p>
        </w:tc>
        <w:tc>
          <w:tcPr>
            <w:tcW w:w="1451" w:type="dxa"/>
            <w:vAlign w:val="center"/>
          </w:tcPr>
          <w:p>
            <w:pPr>
              <w:snapToGrid w:val="0"/>
              <w:spacing w:line="400" w:lineRule="exact"/>
              <w:jc w:val="center"/>
              <w:rPr>
                <w:rFonts w:ascii="宋体" w:hAnsi="宋体"/>
                <w:kern w:val="0"/>
                <w:szCs w:val="21"/>
              </w:rPr>
            </w:pPr>
            <w:r>
              <w:rPr>
                <w:rFonts w:hint="eastAsia" w:ascii="宋体" w:hAnsi="宋体"/>
                <w:kern w:val="0"/>
                <w:szCs w:val="21"/>
              </w:rPr>
              <w:t>服务期</w:t>
            </w:r>
          </w:p>
        </w:tc>
        <w:tc>
          <w:tcPr>
            <w:tcW w:w="6683" w:type="dxa"/>
            <w:vAlign w:val="center"/>
          </w:tcPr>
          <w:p>
            <w:pPr>
              <w:snapToGrid w:val="0"/>
              <w:spacing w:line="400" w:lineRule="exact"/>
              <w:rPr>
                <w:rFonts w:ascii="宋体" w:hAnsi="宋体"/>
                <w:kern w:val="0"/>
                <w:szCs w:val="21"/>
              </w:rPr>
            </w:pPr>
            <w:r>
              <w:rPr>
                <w:rFonts w:hint="eastAsia" w:ascii="宋体" w:hAnsi="宋体"/>
                <w:kern w:val="0"/>
                <w:szCs w:val="21"/>
              </w:rPr>
              <w:t>6个月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ascii="宋体" w:hAnsi="宋体"/>
                <w:kern w:val="0"/>
                <w:szCs w:val="21"/>
              </w:rPr>
              <w:t>1.3.3</w:t>
            </w:r>
          </w:p>
        </w:tc>
        <w:tc>
          <w:tcPr>
            <w:tcW w:w="1451" w:type="dxa"/>
            <w:vAlign w:val="center"/>
          </w:tcPr>
          <w:p>
            <w:pPr>
              <w:snapToGrid w:val="0"/>
              <w:spacing w:line="400" w:lineRule="exact"/>
              <w:jc w:val="center"/>
              <w:rPr>
                <w:rFonts w:ascii="宋体" w:hAnsi="宋体"/>
                <w:kern w:val="0"/>
                <w:szCs w:val="21"/>
              </w:rPr>
            </w:pPr>
            <w:r>
              <w:rPr>
                <w:rFonts w:hint="eastAsia" w:ascii="宋体" w:hAnsi="宋体"/>
                <w:kern w:val="0"/>
                <w:szCs w:val="21"/>
              </w:rPr>
              <w:t>服务标准</w:t>
            </w:r>
            <w:r>
              <w:rPr>
                <w:rFonts w:ascii="宋体" w:hAnsi="宋体"/>
                <w:kern w:val="0"/>
                <w:szCs w:val="21"/>
              </w:rPr>
              <w:t>要求</w:t>
            </w:r>
          </w:p>
        </w:tc>
        <w:tc>
          <w:tcPr>
            <w:tcW w:w="6683" w:type="dxa"/>
            <w:vAlign w:val="center"/>
          </w:tcPr>
          <w:p>
            <w:pPr>
              <w:autoSpaceDE w:val="0"/>
              <w:autoSpaceDN w:val="0"/>
              <w:adjustRightInd w:val="0"/>
              <w:snapToGrid w:val="0"/>
              <w:spacing w:line="400" w:lineRule="exact"/>
              <w:ind w:firstLine="420" w:firstLineChars="200"/>
            </w:pPr>
            <w:r>
              <w:rPr>
                <w:rFonts w:hint="eastAsia"/>
              </w:rPr>
              <w:t>（一）严格执行《中华人民共和国国家标准文书档案归档文件整理规则》（DA/T22--2000）；</w:t>
            </w:r>
          </w:p>
          <w:p>
            <w:pPr>
              <w:autoSpaceDE w:val="0"/>
              <w:autoSpaceDN w:val="0"/>
              <w:adjustRightInd w:val="0"/>
              <w:snapToGrid w:val="0"/>
              <w:spacing w:line="400" w:lineRule="exact"/>
              <w:ind w:firstLine="420" w:firstLineChars="200"/>
            </w:pPr>
            <w:r>
              <w:rPr>
                <w:rFonts w:hint="eastAsia"/>
              </w:rPr>
              <w:t>（二）严格执行《重庆市机关归档文件整理实施细则》（渝档发〔2009〕34号）文件。</w:t>
            </w:r>
          </w:p>
          <w:p>
            <w:pPr>
              <w:autoSpaceDE w:val="0"/>
              <w:autoSpaceDN w:val="0"/>
              <w:adjustRightInd w:val="0"/>
              <w:snapToGrid w:val="0"/>
              <w:spacing w:line="400" w:lineRule="exact"/>
              <w:ind w:firstLine="420" w:firstLineChars="200"/>
            </w:pPr>
            <w:r>
              <w:rPr>
                <w:rFonts w:hint="eastAsia"/>
              </w:rPr>
              <w:t>（三）工程档案应符合移交城乡建设档案管理机构的标准，其余类型档案应符合国家及重庆市相关标准。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25" w:hRule="atLeast"/>
          <w:jc w:val="center"/>
        </w:trPr>
        <w:tc>
          <w:tcPr>
            <w:tcW w:w="1240" w:type="dxa"/>
            <w:vAlign w:val="center"/>
          </w:tcPr>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jc w:val="center"/>
              <w:rPr>
                <w:rFonts w:ascii="宋体" w:hAnsi="宋体"/>
                <w:kern w:val="0"/>
                <w:szCs w:val="21"/>
              </w:rPr>
            </w:pPr>
          </w:p>
          <w:p>
            <w:pPr>
              <w:snapToGrid w:val="0"/>
              <w:spacing w:line="400" w:lineRule="exact"/>
              <w:rPr>
                <w:rFonts w:ascii="宋体" w:hAnsi="宋体"/>
                <w:kern w:val="0"/>
                <w:szCs w:val="21"/>
              </w:rPr>
            </w:pPr>
          </w:p>
        </w:tc>
        <w:tc>
          <w:tcPr>
            <w:tcW w:w="1451" w:type="dxa"/>
            <w:vAlign w:val="center"/>
          </w:tcPr>
          <w:p>
            <w:pPr>
              <w:snapToGrid w:val="0"/>
              <w:spacing w:line="400" w:lineRule="exact"/>
              <w:rPr>
                <w:rFonts w:ascii="宋体" w:hAnsi="宋体"/>
                <w:kern w:val="0"/>
                <w:szCs w:val="21"/>
              </w:rPr>
            </w:pPr>
          </w:p>
        </w:tc>
        <w:tc>
          <w:tcPr>
            <w:tcW w:w="6683" w:type="dxa"/>
            <w:vAlign w:val="center"/>
          </w:tcPr>
          <w:p>
            <w:pPr>
              <w:autoSpaceDE w:val="0"/>
              <w:autoSpaceDN w:val="0"/>
              <w:adjustRightInd w:val="0"/>
              <w:snapToGrid w:val="0"/>
              <w:spacing w:line="400" w:lineRule="exact"/>
            </w:pPr>
            <w:bookmarkStart w:id="18" w:name="一是"/>
            <w:bookmarkEnd w:id="18"/>
            <w:r>
              <w:rPr>
                <w:rFonts w:hint="eastAsia"/>
              </w:rPr>
              <w:t>1、资格条件</w:t>
            </w:r>
            <w:r>
              <w:t>、营业执照及安全生产条件</w:t>
            </w:r>
          </w:p>
          <w:p>
            <w:pPr>
              <w:autoSpaceDE w:val="0"/>
              <w:autoSpaceDN w:val="0"/>
              <w:adjustRightInd w:val="0"/>
              <w:snapToGrid w:val="0"/>
              <w:spacing w:line="400" w:lineRule="exact"/>
              <w:ind w:firstLine="420" w:firstLineChars="200"/>
            </w:pPr>
            <w:r>
              <w:t>（1）具备</w:t>
            </w:r>
            <w:r>
              <w:rPr>
                <w:rFonts w:hint="eastAsia"/>
              </w:rPr>
              <w:t>《国家秘密载体印制资质证书》乙级或以上资质。              资质</w:t>
            </w:r>
            <w:r>
              <w:t>。</w:t>
            </w:r>
          </w:p>
          <w:p>
            <w:pPr>
              <w:autoSpaceDE w:val="0"/>
              <w:autoSpaceDN w:val="0"/>
              <w:adjustRightInd w:val="0"/>
              <w:snapToGrid w:val="0"/>
              <w:spacing w:line="400" w:lineRule="exact"/>
              <w:ind w:firstLine="420" w:firstLineChars="200"/>
            </w:pPr>
            <w:r>
              <w:rPr>
                <w:rFonts w:hint="eastAsia"/>
              </w:rPr>
              <w:t>投标人</w:t>
            </w:r>
            <w:r>
              <w:t>须</w:t>
            </w:r>
            <w:r>
              <w:rPr>
                <w:rFonts w:hint="eastAsia"/>
              </w:rPr>
              <w:t>在投标文件资格审查部分</w:t>
            </w:r>
            <w:r>
              <w:t>提供</w:t>
            </w:r>
            <w:r>
              <w:rPr>
                <w:rFonts w:hint="eastAsia"/>
              </w:rPr>
              <w:t>有效的带二维码标识的资质证书</w:t>
            </w:r>
            <w:r>
              <w:t>。</w:t>
            </w:r>
          </w:p>
          <w:p>
            <w:pPr>
              <w:autoSpaceDE w:val="0"/>
              <w:autoSpaceDN w:val="0"/>
              <w:adjustRightInd w:val="0"/>
              <w:snapToGrid w:val="0"/>
              <w:spacing w:line="400" w:lineRule="exact"/>
              <w:ind w:firstLine="420" w:firstLineChars="200"/>
            </w:pPr>
            <w:r>
              <w:t>（2）具备有效的营业执照。</w:t>
            </w:r>
          </w:p>
          <w:p>
            <w:pPr>
              <w:autoSpaceDE w:val="0"/>
              <w:autoSpaceDN w:val="0"/>
              <w:adjustRightInd w:val="0"/>
              <w:snapToGrid w:val="0"/>
              <w:spacing w:line="400" w:lineRule="exact"/>
              <w:ind w:firstLine="420" w:firstLineChars="200"/>
            </w:pPr>
            <w:r>
              <w:rPr>
                <w:rFonts w:hint="eastAsia"/>
              </w:rPr>
              <w:t>投标人</w:t>
            </w:r>
            <w:r>
              <w:t>须</w:t>
            </w:r>
            <w:r>
              <w:rPr>
                <w:rFonts w:hint="eastAsia"/>
              </w:rPr>
              <w:t>在投标文件资格审查部分</w:t>
            </w:r>
            <w:r>
              <w:t>提供有效的带二维码</w:t>
            </w:r>
            <w:r>
              <w:rPr>
                <w:rFonts w:hint="eastAsia"/>
              </w:rPr>
              <w:t>标识</w:t>
            </w:r>
            <w:r>
              <w:t>的营业执照。</w:t>
            </w:r>
            <w:r>
              <w:rPr>
                <w:rFonts w:hint="eastAsia"/>
              </w:rPr>
              <w:t>注：不得将投标人营业执照记载的经营范围作为评审因素。</w:t>
            </w:r>
          </w:p>
          <w:p>
            <w:pPr>
              <w:autoSpaceDE w:val="0"/>
              <w:autoSpaceDN w:val="0"/>
              <w:adjustRightInd w:val="0"/>
              <w:snapToGrid w:val="0"/>
              <w:spacing w:line="400" w:lineRule="exact"/>
              <w:ind w:firstLine="420" w:firstLineChars="200"/>
            </w:pPr>
            <w:r>
              <w:t>2.财务要求</w:t>
            </w:r>
          </w:p>
          <w:p>
            <w:pPr>
              <w:autoSpaceDE w:val="0"/>
              <w:autoSpaceDN w:val="0"/>
              <w:adjustRightInd w:val="0"/>
              <w:snapToGrid w:val="0"/>
              <w:spacing w:line="400" w:lineRule="exact"/>
              <w:ind w:firstLine="420" w:firstLineChars="200"/>
            </w:pPr>
            <w:r>
              <w:rPr>
                <w:rFonts w:hint="eastAsia"/>
              </w:rPr>
              <w:t>2022年的年度财务状况不亏损。</w:t>
            </w:r>
          </w:p>
          <w:p>
            <w:pPr>
              <w:snapToGrid w:val="0"/>
              <w:spacing w:line="400" w:lineRule="exact"/>
              <w:ind w:firstLine="420" w:firstLineChars="200"/>
            </w:pPr>
            <w:r>
              <w:rPr>
                <w:rFonts w:hint="eastAsia"/>
              </w:rPr>
              <w:t>投标人须在投标文件资格审查部分提供经会计师事务所或审计机构出具的合法有效的财务审计报告及财务报表，财务报表须至少包括现金流量表、资产负债表、利润表。</w:t>
            </w:r>
          </w:p>
          <w:p>
            <w:pPr>
              <w:snapToGrid w:val="0"/>
              <w:spacing w:line="400" w:lineRule="exact"/>
              <w:ind w:firstLine="420" w:firstLineChars="200"/>
            </w:pPr>
            <w:r>
              <w:rPr>
                <w:rFonts w:hint="eastAsia"/>
              </w:rPr>
              <w:t>3</w:t>
            </w:r>
            <w:r>
              <w:t>.</w:t>
            </w:r>
            <w:r>
              <w:rPr>
                <w:rFonts w:hint="eastAsia"/>
              </w:rPr>
              <w:t>服务人员</w:t>
            </w:r>
            <w:r>
              <w:t>要求</w:t>
            </w:r>
            <w:r>
              <w:rPr>
                <w:rFonts w:hint="eastAsia"/>
              </w:rPr>
              <w:t>: （1）现场负责人具有档案专业助理馆员及以上职称且通过省级或省级以上保密局组织保密培训并取得培训证书；</w:t>
            </w:r>
          </w:p>
          <w:p>
            <w:pPr>
              <w:snapToGrid w:val="0"/>
              <w:spacing w:line="400" w:lineRule="exact"/>
              <w:ind w:firstLine="420" w:firstLineChars="200"/>
            </w:pPr>
            <w:r>
              <w:rPr>
                <w:rFonts w:hint="eastAsia"/>
              </w:rPr>
              <w:t>（2）参与项目人员具有省（直辖市、自治区）级档案学会颁发的档案人员“岗位培训证书”，至少提供5人。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ascii="宋体" w:hAnsi="宋体"/>
                <w:kern w:val="0"/>
                <w:szCs w:val="21"/>
              </w:rPr>
              <w:t>2.1</w:t>
            </w:r>
          </w:p>
        </w:tc>
        <w:tc>
          <w:tcPr>
            <w:tcW w:w="1451" w:type="dxa"/>
            <w:vAlign w:val="center"/>
          </w:tcPr>
          <w:p>
            <w:pPr>
              <w:snapToGrid w:val="0"/>
              <w:spacing w:after="15" w:afterLines="5" w:line="400" w:lineRule="exact"/>
              <w:jc w:val="center"/>
              <w:rPr>
                <w:rFonts w:ascii="宋体" w:hAnsi="宋体"/>
                <w:kern w:val="0"/>
                <w:szCs w:val="21"/>
              </w:rPr>
            </w:pPr>
            <w:r>
              <w:rPr>
                <w:rFonts w:ascii="宋体" w:hAnsi="宋体"/>
                <w:kern w:val="0"/>
                <w:szCs w:val="21"/>
              </w:rPr>
              <w:t>构成</w:t>
            </w:r>
            <w:r>
              <w:rPr>
                <w:rFonts w:hint="eastAsia" w:ascii="宋体" w:hAnsi="宋体"/>
                <w:kern w:val="0"/>
                <w:szCs w:val="21"/>
              </w:rPr>
              <w:t>采购</w:t>
            </w:r>
            <w:r>
              <w:rPr>
                <w:rFonts w:ascii="宋体" w:hAnsi="宋体"/>
                <w:kern w:val="0"/>
                <w:szCs w:val="21"/>
              </w:rPr>
              <w:t>文件的其他材料</w:t>
            </w:r>
          </w:p>
        </w:tc>
        <w:tc>
          <w:tcPr>
            <w:tcW w:w="6683" w:type="dxa"/>
            <w:vAlign w:val="center"/>
          </w:tcPr>
          <w:p>
            <w:pPr>
              <w:snapToGrid w:val="0"/>
              <w:spacing w:line="400" w:lineRule="exact"/>
              <w:ind w:firstLine="420" w:firstLineChars="200"/>
              <w:rPr>
                <w:rFonts w:ascii="宋体" w:hAnsi="宋体"/>
                <w:szCs w:val="21"/>
              </w:rPr>
            </w:pPr>
            <w:r>
              <w:rPr>
                <w:rFonts w:hint="eastAsia" w:ascii="宋体" w:hAnsi="宋体"/>
                <w:szCs w:val="21"/>
              </w:rPr>
              <w:t>采购</w:t>
            </w:r>
            <w:r>
              <w:rPr>
                <w:rFonts w:ascii="宋体" w:hAnsi="宋体"/>
                <w:szCs w:val="21"/>
              </w:rPr>
              <w:t>人发出的</w:t>
            </w:r>
            <w:r>
              <w:rPr>
                <w:rFonts w:hint="eastAsia" w:ascii="宋体" w:hAnsi="宋体"/>
                <w:szCs w:val="21"/>
              </w:rPr>
              <w:t>澄清</w:t>
            </w:r>
            <w:r>
              <w:rPr>
                <w:rFonts w:ascii="宋体" w:hAnsi="宋体"/>
                <w:szCs w:val="21"/>
              </w:rPr>
              <w:t>及</w:t>
            </w:r>
            <w:r>
              <w:rPr>
                <w:rFonts w:hint="eastAsia" w:ascii="宋体" w:hAnsi="宋体"/>
                <w:szCs w:val="21"/>
              </w:rPr>
              <w:t>修改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hint="eastAsia" w:ascii="宋体" w:hAnsi="宋体"/>
                <w:kern w:val="0"/>
                <w:szCs w:val="21"/>
              </w:rPr>
              <w:t>2</w:t>
            </w:r>
            <w:r>
              <w:rPr>
                <w:rFonts w:ascii="宋体" w:hAnsi="宋体"/>
                <w:kern w:val="0"/>
                <w:szCs w:val="21"/>
              </w:rPr>
              <w:t>.</w:t>
            </w:r>
            <w:r>
              <w:rPr>
                <w:rFonts w:hint="eastAsia" w:ascii="宋体" w:hAnsi="宋体"/>
                <w:kern w:val="0"/>
                <w:szCs w:val="21"/>
              </w:rPr>
              <w:t>2</w:t>
            </w:r>
            <w:r>
              <w:rPr>
                <w:rFonts w:ascii="宋体" w:hAnsi="宋体"/>
                <w:kern w:val="0"/>
                <w:szCs w:val="21"/>
              </w:rPr>
              <w:t>.</w:t>
            </w:r>
            <w:r>
              <w:rPr>
                <w:rFonts w:hint="eastAsia" w:ascii="宋体" w:hAnsi="宋体"/>
                <w:kern w:val="0"/>
                <w:szCs w:val="21"/>
              </w:rPr>
              <w:t>1</w:t>
            </w:r>
          </w:p>
        </w:tc>
        <w:tc>
          <w:tcPr>
            <w:tcW w:w="1451" w:type="dxa"/>
            <w:tcBorders>
              <w:bottom w:val="single" w:color="auto" w:sz="4" w:space="0"/>
            </w:tcBorders>
            <w:vAlign w:val="center"/>
          </w:tcPr>
          <w:p>
            <w:pPr>
              <w:snapToGrid w:val="0"/>
              <w:spacing w:line="400" w:lineRule="exact"/>
              <w:jc w:val="center"/>
              <w:rPr>
                <w:rFonts w:ascii="宋体" w:hAnsi="宋体"/>
                <w:kern w:val="0"/>
                <w:szCs w:val="21"/>
              </w:rPr>
            </w:pPr>
            <w:r>
              <w:rPr>
                <w:rFonts w:ascii="宋体" w:hAnsi="宋体"/>
                <w:kern w:val="0"/>
                <w:szCs w:val="21"/>
              </w:rPr>
              <w:t>投标人对</w:t>
            </w:r>
            <w:r>
              <w:rPr>
                <w:rFonts w:hint="eastAsia" w:ascii="宋体" w:hAnsi="宋体"/>
                <w:kern w:val="0"/>
                <w:szCs w:val="21"/>
              </w:rPr>
              <w:t>采购</w:t>
            </w:r>
            <w:r>
              <w:rPr>
                <w:rFonts w:ascii="宋体" w:hAnsi="宋体"/>
                <w:kern w:val="0"/>
                <w:szCs w:val="21"/>
              </w:rPr>
              <w:t>文件提出</w:t>
            </w:r>
            <w:r>
              <w:rPr>
                <w:rFonts w:hint="eastAsia" w:ascii="宋体" w:hAnsi="宋体"/>
                <w:kern w:val="0"/>
                <w:szCs w:val="21"/>
              </w:rPr>
              <w:t>疑问</w:t>
            </w:r>
            <w:r>
              <w:rPr>
                <w:rFonts w:ascii="宋体" w:hAnsi="宋体"/>
                <w:kern w:val="0"/>
                <w:szCs w:val="21"/>
              </w:rPr>
              <w:t>的截止时间</w:t>
            </w:r>
          </w:p>
        </w:tc>
        <w:tc>
          <w:tcPr>
            <w:tcW w:w="6683" w:type="dxa"/>
            <w:vAlign w:val="center"/>
          </w:tcPr>
          <w:p>
            <w:pPr>
              <w:snapToGrid w:val="0"/>
              <w:spacing w:line="400" w:lineRule="exact"/>
              <w:ind w:firstLine="420" w:firstLineChars="200"/>
              <w:rPr>
                <w:rFonts w:ascii="宋体" w:hAnsi="宋体"/>
                <w:kern w:val="0"/>
                <w:szCs w:val="21"/>
              </w:rPr>
            </w:pPr>
            <w:r>
              <w:rPr>
                <w:rFonts w:ascii="宋体" w:hAnsi="宋体"/>
                <w:kern w:val="0"/>
                <w:szCs w:val="21"/>
              </w:rPr>
              <w:t>投标人应仔细</w:t>
            </w:r>
            <w:r>
              <w:rPr>
                <w:rFonts w:hint="eastAsia" w:ascii="宋体" w:hAnsi="宋体"/>
                <w:kern w:val="0"/>
                <w:szCs w:val="21"/>
              </w:rPr>
              <w:t>阅读采购</w:t>
            </w:r>
            <w:r>
              <w:rPr>
                <w:rFonts w:ascii="宋体" w:hAnsi="宋体"/>
                <w:kern w:val="0"/>
                <w:szCs w:val="21"/>
              </w:rPr>
              <w:t>文件</w:t>
            </w:r>
            <w:r>
              <w:rPr>
                <w:rFonts w:hint="eastAsia" w:ascii="宋体" w:hAnsi="宋体"/>
                <w:kern w:val="0"/>
                <w:szCs w:val="21"/>
              </w:rPr>
              <w:t>及附件</w:t>
            </w:r>
            <w:r>
              <w:rPr>
                <w:rFonts w:ascii="宋体" w:hAnsi="宋体"/>
                <w:kern w:val="0"/>
                <w:szCs w:val="21"/>
              </w:rPr>
              <w:t>的所有内容，如有文字表述不清，图纸尺寸标注不明以及存在错、漏、缺、概念模糊和有可能出现歧义或理解上的偏差的内容等应</w:t>
            </w:r>
            <w:r>
              <w:rPr>
                <w:rFonts w:hint="eastAsia" w:ascii="宋体" w:hAnsi="宋体" w:cs="宋体"/>
                <w:kern w:val="0"/>
                <w:szCs w:val="21"/>
              </w:rPr>
              <w:t>在采购公告规定的时间</w:t>
            </w:r>
            <w:r>
              <w:rPr>
                <w:rFonts w:ascii="宋体" w:hAnsi="宋体"/>
                <w:kern w:val="0"/>
                <w:szCs w:val="21"/>
              </w:rPr>
              <w:t>前</w:t>
            </w:r>
            <w:r>
              <w:rPr>
                <w:rFonts w:hint="eastAsia" w:ascii="宋体" w:hAnsi="宋体"/>
                <w:kern w:val="0"/>
                <w:szCs w:val="21"/>
              </w:rPr>
              <w:t>书面</w:t>
            </w:r>
            <w:r>
              <w:rPr>
                <w:rFonts w:ascii="宋体" w:hAnsi="宋体"/>
                <w:kern w:val="0"/>
                <w:szCs w:val="21"/>
              </w:rPr>
              <w:t>提交。</w:t>
            </w:r>
            <w:r>
              <w:rPr>
                <w:rFonts w:hint="eastAsia" w:ascii="宋体" w:hAnsi="宋体"/>
                <w:kern w:val="0"/>
                <w:szCs w:val="21"/>
              </w:rPr>
              <w:t>（提示：公告公示后第二天结束后，不再接收任何书面质疑）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240" w:type="dxa"/>
            <w:vMerge w:val="restart"/>
            <w:vAlign w:val="center"/>
          </w:tcPr>
          <w:p>
            <w:pPr>
              <w:snapToGrid w:val="0"/>
              <w:spacing w:line="400" w:lineRule="exact"/>
              <w:jc w:val="center"/>
              <w:rPr>
                <w:rFonts w:ascii="宋体" w:hAnsi="宋体"/>
                <w:kern w:val="0"/>
                <w:szCs w:val="21"/>
              </w:rPr>
            </w:pPr>
            <w:r>
              <w:rPr>
                <w:rFonts w:ascii="宋体" w:hAnsi="宋体"/>
                <w:kern w:val="0"/>
                <w:szCs w:val="21"/>
              </w:rPr>
              <w:t>2.2.2</w:t>
            </w:r>
          </w:p>
        </w:tc>
        <w:tc>
          <w:tcPr>
            <w:tcW w:w="1451" w:type="dxa"/>
            <w:tcBorders>
              <w:top w:val="single" w:color="auto" w:sz="4" w:space="0"/>
            </w:tcBorders>
            <w:vAlign w:val="center"/>
          </w:tcPr>
          <w:p>
            <w:pPr>
              <w:snapToGrid w:val="0"/>
              <w:spacing w:line="400" w:lineRule="exact"/>
              <w:jc w:val="center"/>
              <w:rPr>
                <w:rFonts w:ascii="宋体" w:hAnsi="宋体"/>
                <w:kern w:val="0"/>
                <w:szCs w:val="21"/>
              </w:rPr>
            </w:pPr>
            <w:r>
              <w:rPr>
                <w:rFonts w:hint="eastAsia" w:ascii="宋体" w:hAnsi="宋体"/>
                <w:kern w:val="0"/>
                <w:szCs w:val="21"/>
              </w:rPr>
              <w:t>采购</w:t>
            </w:r>
            <w:r>
              <w:rPr>
                <w:rFonts w:ascii="宋体" w:hAnsi="宋体"/>
                <w:kern w:val="0"/>
                <w:szCs w:val="21"/>
              </w:rPr>
              <w:t>人对</w:t>
            </w:r>
            <w:r>
              <w:rPr>
                <w:rFonts w:hint="eastAsia" w:ascii="宋体" w:hAnsi="宋体"/>
                <w:kern w:val="0"/>
                <w:szCs w:val="21"/>
              </w:rPr>
              <w:t>采购</w:t>
            </w:r>
            <w:r>
              <w:rPr>
                <w:rFonts w:ascii="宋体" w:hAnsi="宋体"/>
                <w:kern w:val="0"/>
                <w:szCs w:val="21"/>
              </w:rPr>
              <w:t>文件澄清的截止时间</w:t>
            </w:r>
          </w:p>
        </w:tc>
        <w:tc>
          <w:tcPr>
            <w:tcW w:w="6683" w:type="dxa"/>
            <w:vAlign w:val="center"/>
          </w:tcPr>
          <w:p>
            <w:pPr>
              <w:snapToGrid w:val="0"/>
              <w:spacing w:line="400" w:lineRule="exact"/>
              <w:ind w:firstLine="420" w:firstLineChars="200"/>
              <w:rPr>
                <w:rFonts w:ascii="宋体" w:hAnsi="宋体"/>
                <w:snapToGrid w:val="0"/>
                <w:kern w:val="0"/>
                <w:szCs w:val="21"/>
              </w:rPr>
            </w:pPr>
            <w:r>
              <w:rPr>
                <w:rFonts w:hint="eastAsia" w:ascii="宋体" w:hAnsi="宋体"/>
                <w:szCs w:val="21"/>
              </w:rPr>
              <w:t>采购人应在采购公告公示第三天</w:t>
            </w:r>
            <w:r>
              <w:rPr>
                <w:rFonts w:ascii="宋体" w:hAnsi="宋体"/>
                <w:szCs w:val="21"/>
              </w:rPr>
              <w:t>，</w:t>
            </w:r>
            <w:r>
              <w:rPr>
                <w:rFonts w:ascii="宋体" w:hAnsi="宋体"/>
                <w:kern w:val="0"/>
                <w:szCs w:val="21"/>
              </w:rPr>
              <w:t>在</w:t>
            </w:r>
            <w:r>
              <w:rPr>
                <w:rFonts w:hint="eastAsia" w:ascii="宋体" w:hAnsi="宋体"/>
                <w:kern w:val="0"/>
              </w:rPr>
              <w:t>重庆经开区投资集团官网</w:t>
            </w:r>
            <w:r>
              <w:rPr>
                <w:rFonts w:hint="eastAsia" w:ascii="宋体" w:hAnsi="宋体"/>
                <w:kern w:val="0"/>
                <w:u w:val="single"/>
              </w:rPr>
              <w:t>（</w:t>
            </w:r>
            <w:r>
              <w:fldChar w:fldCharType="begin"/>
            </w:r>
            <w:r>
              <w:instrText xml:space="preserve"> HYPERLINK "http://www.cetzig.com/" </w:instrText>
            </w:r>
            <w:r>
              <w:fldChar w:fldCharType="separate"/>
            </w:r>
            <w:r>
              <w:rPr>
                <w:rStyle w:val="53"/>
                <w:rFonts w:hint="eastAsia" w:ascii="宋体" w:hAnsi="宋体"/>
                <w:kern w:val="0"/>
              </w:rPr>
              <w:t>http://www.cetzig.com/</w:t>
            </w:r>
            <w:r>
              <w:rPr>
                <w:rStyle w:val="53"/>
                <w:rFonts w:hint="eastAsia" w:ascii="宋体" w:hAnsi="宋体"/>
                <w:kern w:val="0"/>
              </w:rPr>
              <w:fldChar w:fldCharType="end"/>
            </w:r>
            <w:r>
              <w:rPr>
                <w:rFonts w:hint="eastAsia" w:ascii="宋体" w:hAnsi="宋体"/>
                <w:kern w:val="0"/>
                <w:u w:val="single"/>
              </w:rPr>
              <w:t>）</w:t>
            </w:r>
            <w:r>
              <w:rPr>
                <w:rFonts w:hint="eastAsia" w:ascii="宋体" w:hAnsi="宋体"/>
                <w:kern w:val="0"/>
              </w:rPr>
              <w:t>和行采家（https://www.gec123.com/）</w:t>
            </w:r>
            <w:r>
              <w:rPr>
                <w:rFonts w:ascii="宋体" w:hAnsi="宋体"/>
                <w:kern w:val="0"/>
                <w:szCs w:val="21"/>
              </w:rPr>
              <w:t>发布</w:t>
            </w:r>
            <w:r>
              <w:rPr>
                <w:rFonts w:hint="eastAsia" w:ascii="宋体" w:hAnsi="宋体"/>
                <w:kern w:val="0"/>
                <w:szCs w:val="21"/>
              </w:rPr>
              <w:t>澄清</w:t>
            </w:r>
            <w:r>
              <w:rPr>
                <w:rFonts w:ascii="宋体" w:hAnsi="宋体"/>
                <w:kern w:val="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240" w:type="dxa"/>
            <w:vMerge w:val="continue"/>
            <w:vAlign w:val="center"/>
          </w:tcPr>
          <w:p>
            <w:pPr>
              <w:snapToGrid w:val="0"/>
              <w:spacing w:line="400" w:lineRule="exact"/>
              <w:jc w:val="center"/>
              <w:rPr>
                <w:rFonts w:ascii="宋体" w:hAnsi="宋体"/>
                <w:kern w:val="0"/>
                <w:szCs w:val="21"/>
              </w:rPr>
            </w:pPr>
          </w:p>
        </w:tc>
        <w:tc>
          <w:tcPr>
            <w:tcW w:w="1451" w:type="dxa"/>
            <w:vAlign w:val="center"/>
          </w:tcPr>
          <w:p>
            <w:pPr>
              <w:snapToGrid w:val="0"/>
              <w:spacing w:line="400" w:lineRule="exact"/>
              <w:jc w:val="center"/>
              <w:rPr>
                <w:rFonts w:ascii="宋体" w:hAnsi="宋体"/>
                <w:kern w:val="0"/>
                <w:szCs w:val="21"/>
              </w:rPr>
            </w:pPr>
            <w:r>
              <w:rPr>
                <w:rFonts w:hint="eastAsia" w:ascii="宋体" w:hAnsi="宋体"/>
                <w:kern w:val="0"/>
                <w:szCs w:val="21"/>
              </w:rPr>
              <w:t>投标截止时间</w:t>
            </w:r>
          </w:p>
        </w:tc>
        <w:tc>
          <w:tcPr>
            <w:tcW w:w="6683" w:type="dxa"/>
            <w:vAlign w:val="center"/>
          </w:tcPr>
          <w:p>
            <w:pPr>
              <w:snapToGrid w:val="0"/>
              <w:spacing w:line="400" w:lineRule="exact"/>
              <w:ind w:firstLine="420" w:firstLineChars="200"/>
              <w:rPr>
                <w:rFonts w:ascii="宋体" w:hAnsi="宋体"/>
                <w:szCs w:val="21"/>
                <w:u w:val="single"/>
              </w:rPr>
            </w:pPr>
            <w:r>
              <w:rPr>
                <w:rFonts w:hint="eastAsia" w:ascii="宋体" w:hAnsi="宋体"/>
                <w:szCs w:val="21"/>
              </w:rPr>
              <w:t>2</w:t>
            </w:r>
            <w:r>
              <w:rPr>
                <w:rFonts w:ascii="宋体" w:hAnsi="宋体"/>
                <w:szCs w:val="21"/>
              </w:rPr>
              <w:t>023</w:t>
            </w:r>
            <w:r>
              <w:rPr>
                <w:rFonts w:hint="eastAsia" w:ascii="宋体" w:hAnsi="宋体"/>
                <w:szCs w:val="21"/>
              </w:rPr>
              <w:t>年7月</w:t>
            </w:r>
            <w:r>
              <w:rPr>
                <w:rFonts w:hint="eastAsia" w:ascii="宋体" w:hAnsi="宋体"/>
                <w:szCs w:val="21"/>
                <w:lang w:val="en-US" w:eastAsia="zh-CN"/>
              </w:rPr>
              <w:t>31</w:t>
            </w:r>
            <w:r>
              <w:rPr>
                <w:rFonts w:hint="eastAsia" w:ascii="宋体" w:hAnsi="宋体"/>
                <w:szCs w:val="21"/>
              </w:rPr>
              <w:t>日</w:t>
            </w:r>
            <w:r>
              <w:rPr>
                <w:rFonts w:ascii="宋体" w:hAnsi="宋体"/>
                <w:szCs w:val="21"/>
              </w:rPr>
              <w:t>上午</w:t>
            </w:r>
            <w:r>
              <w:rPr>
                <w:rFonts w:hint="eastAsia" w:ascii="宋体" w:hAnsi="宋体"/>
                <w:szCs w:val="21"/>
              </w:rPr>
              <w:t>9点。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ascii="宋体" w:hAnsi="宋体"/>
                <w:kern w:val="0"/>
                <w:szCs w:val="21"/>
              </w:rPr>
              <w:t>2.2.3</w:t>
            </w:r>
          </w:p>
        </w:tc>
        <w:tc>
          <w:tcPr>
            <w:tcW w:w="1451" w:type="dxa"/>
            <w:vAlign w:val="center"/>
          </w:tcPr>
          <w:p>
            <w:pPr>
              <w:snapToGrid w:val="0"/>
              <w:spacing w:after="15" w:afterLines="5" w:line="400" w:lineRule="exact"/>
              <w:jc w:val="center"/>
              <w:rPr>
                <w:rFonts w:ascii="宋体" w:hAnsi="宋体"/>
                <w:kern w:val="0"/>
                <w:szCs w:val="21"/>
              </w:rPr>
            </w:pPr>
            <w:r>
              <w:rPr>
                <w:rFonts w:hint="eastAsia" w:ascii="宋体" w:hAnsi="宋体"/>
                <w:kern w:val="0"/>
                <w:szCs w:val="21"/>
              </w:rPr>
              <w:t>采购</w:t>
            </w:r>
            <w:r>
              <w:rPr>
                <w:rFonts w:ascii="宋体" w:hAnsi="宋体"/>
                <w:kern w:val="0"/>
                <w:szCs w:val="21"/>
              </w:rPr>
              <w:t>人对</w:t>
            </w:r>
            <w:r>
              <w:rPr>
                <w:rFonts w:hint="eastAsia" w:ascii="宋体" w:hAnsi="宋体"/>
                <w:kern w:val="0"/>
                <w:szCs w:val="21"/>
              </w:rPr>
              <w:t>采购</w:t>
            </w:r>
            <w:r>
              <w:rPr>
                <w:rFonts w:ascii="宋体" w:hAnsi="宋体"/>
                <w:kern w:val="0"/>
                <w:szCs w:val="21"/>
              </w:rPr>
              <w:t>文件进行</w:t>
            </w:r>
            <w:r>
              <w:rPr>
                <w:rFonts w:hint="eastAsia" w:ascii="宋体" w:hAnsi="宋体"/>
                <w:kern w:val="0"/>
                <w:szCs w:val="21"/>
              </w:rPr>
              <w:t>修改</w:t>
            </w:r>
            <w:r>
              <w:rPr>
                <w:rFonts w:ascii="宋体" w:hAnsi="宋体"/>
                <w:kern w:val="0"/>
                <w:szCs w:val="21"/>
              </w:rPr>
              <w:t>的时间</w:t>
            </w:r>
          </w:p>
        </w:tc>
        <w:tc>
          <w:tcPr>
            <w:tcW w:w="6683" w:type="dxa"/>
            <w:vAlign w:val="center"/>
          </w:tcPr>
          <w:p>
            <w:pPr>
              <w:snapToGrid w:val="0"/>
              <w:spacing w:line="400" w:lineRule="exact"/>
              <w:ind w:firstLine="420" w:firstLineChars="200"/>
              <w:rPr>
                <w:rFonts w:ascii="宋体" w:hAnsi="宋体"/>
                <w:szCs w:val="21"/>
              </w:rPr>
            </w:pPr>
            <w:r>
              <w:rPr>
                <w:rFonts w:ascii="宋体" w:hAnsi="宋体"/>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ascii="宋体" w:hAnsi="宋体"/>
                <w:kern w:val="0"/>
                <w:szCs w:val="21"/>
              </w:rPr>
              <w:t>2.2.4</w:t>
            </w:r>
          </w:p>
        </w:tc>
        <w:tc>
          <w:tcPr>
            <w:tcW w:w="1451" w:type="dxa"/>
            <w:vAlign w:val="center"/>
          </w:tcPr>
          <w:p>
            <w:pPr>
              <w:snapToGrid w:val="0"/>
              <w:spacing w:line="400" w:lineRule="exact"/>
              <w:jc w:val="center"/>
              <w:rPr>
                <w:rFonts w:ascii="宋体" w:hAnsi="宋体"/>
                <w:kern w:val="0"/>
                <w:szCs w:val="21"/>
              </w:rPr>
            </w:pPr>
            <w:r>
              <w:rPr>
                <w:rFonts w:ascii="宋体" w:hAnsi="宋体"/>
                <w:kern w:val="0"/>
                <w:szCs w:val="21"/>
              </w:rPr>
              <w:t>投标人对</w:t>
            </w:r>
            <w:r>
              <w:rPr>
                <w:rFonts w:hint="eastAsia" w:ascii="宋体" w:hAnsi="宋体"/>
                <w:kern w:val="0"/>
                <w:szCs w:val="21"/>
              </w:rPr>
              <w:t>采购</w:t>
            </w:r>
            <w:r>
              <w:rPr>
                <w:rFonts w:ascii="宋体" w:hAnsi="宋体"/>
                <w:kern w:val="0"/>
                <w:szCs w:val="21"/>
              </w:rPr>
              <w:t>文件及澄清修改提出异议的截止时间</w:t>
            </w:r>
          </w:p>
        </w:tc>
        <w:tc>
          <w:tcPr>
            <w:tcW w:w="6683" w:type="dxa"/>
            <w:vAlign w:val="center"/>
          </w:tcPr>
          <w:p>
            <w:pPr>
              <w:snapToGrid w:val="0"/>
              <w:spacing w:line="400" w:lineRule="exact"/>
              <w:ind w:firstLine="420" w:firstLineChars="200"/>
              <w:rPr>
                <w:rFonts w:ascii="宋体" w:hAnsi="宋体"/>
                <w:snapToGrid w:val="0"/>
                <w:kern w:val="0"/>
                <w:szCs w:val="21"/>
              </w:rPr>
            </w:pPr>
            <w:r>
              <w:rPr>
                <w:rFonts w:hint="eastAsia" w:ascii="宋体" w:hAnsi="宋体"/>
                <w:snapToGrid w:val="0"/>
                <w:kern w:val="0"/>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ascii="宋体" w:hAnsi="宋体"/>
                <w:kern w:val="0"/>
                <w:szCs w:val="21"/>
              </w:rPr>
              <w:t>3.1.1</w:t>
            </w:r>
          </w:p>
        </w:tc>
        <w:tc>
          <w:tcPr>
            <w:tcW w:w="1451" w:type="dxa"/>
            <w:vAlign w:val="center"/>
          </w:tcPr>
          <w:p>
            <w:pPr>
              <w:snapToGrid w:val="0"/>
              <w:spacing w:after="31" w:afterLines="10" w:line="400" w:lineRule="exact"/>
              <w:jc w:val="center"/>
              <w:rPr>
                <w:rFonts w:ascii="宋体" w:hAnsi="宋体"/>
                <w:kern w:val="0"/>
                <w:szCs w:val="21"/>
              </w:rPr>
            </w:pPr>
            <w:r>
              <w:rPr>
                <w:rFonts w:ascii="宋体" w:hAnsi="宋体"/>
                <w:kern w:val="0"/>
                <w:szCs w:val="21"/>
              </w:rPr>
              <w:t>构成投标文件的其他材料</w:t>
            </w:r>
          </w:p>
        </w:tc>
        <w:tc>
          <w:tcPr>
            <w:tcW w:w="6683" w:type="dxa"/>
            <w:vAlign w:val="center"/>
          </w:tcPr>
          <w:p>
            <w:pPr>
              <w:snapToGrid w:val="0"/>
              <w:spacing w:line="400" w:lineRule="exact"/>
              <w:ind w:firstLine="420" w:firstLineChars="200"/>
              <w:rPr>
                <w:rFonts w:ascii="宋体" w:hAnsi="宋体"/>
                <w:szCs w:val="21"/>
              </w:rPr>
            </w:pPr>
            <w:r>
              <w:rPr>
                <w:rFonts w:ascii="宋体" w:hAnsi="宋体"/>
                <w:szCs w:val="21"/>
              </w:rPr>
              <w:t>投标人的书面澄清、说明和补正（但不得改变投标文件的实质性内容）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22" w:hRule="atLeast"/>
          <w:jc w:val="center"/>
        </w:trPr>
        <w:tc>
          <w:tcPr>
            <w:tcW w:w="1240" w:type="dxa"/>
            <w:vAlign w:val="center"/>
          </w:tcPr>
          <w:p>
            <w:pPr>
              <w:snapToGrid w:val="0"/>
              <w:spacing w:line="400" w:lineRule="exact"/>
              <w:jc w:val="center"/>
              <w:rPr>
                <w:rFonts w:ascii="宋体" w:hAnsi="宋体"/>
                <w:kern w:val="0"/>
                <w:szCs w:val="21"/>
              </w:rPr>
            </w:pPr>
            <w:r>
              <w:rPr>
                <w:rFonts w:hint="eastAsia" w:ascii="宋体" w:hAnsi="宋体"/>
                <w:kern w:val="0"/>
                <w:szCs w:val="21"/>
              </w:rPr>
              <w:t>3.2</w:t>
            </w:r>
          </w:p>
        </w:tc>
        <w:tc>
          <w:tcPr>
            <w:tcW w:w="1451" w:type="dxa"/>
            <w:vAlign w:val="center"/>
          </w:tcPr>
          <w:p>
            <w:pPr>
              <w:snapToGrid w:val="0"/>
              <w:spacing w:line="400" w:lineRule="exact"/>
              <w:jc w:val="center"/>
            </w:pPr>
            <w:r>
              <w:rPr>
                <w:rFonts w:hint="eastAsia"/>
              </w:rPr>
              <w:t>最高限价</w:t>
            </w:r>
          </w:p>
          <w:p>
            <w:pPr>
              <w:pStyle w:val="2"/>
              <w:ind w:firstLine="210" w:firstLineChars="100"/>
            </w:pPr>
            <w:r>
              <w:rPr>
                <w:rFonts w:hint="eastAsia" w:ascii="宋体" w:hAnsi="宋体"/>
                <w:kern w:val="0"/>
                <w:szCs w:val="21"/>
              </w:rPr>
              <w:t>费用标准</w:t>
            </w:r>
          </w:p>
        </w:tc>
        <w:tc>
          <w:tcPr>
            <w:tcW w:w="6683" w:type="dxa"/>
            <w:vAlign w:val="center"/>
          </w:tcPr>
          <w:p>
            <w:pPr>
              <w:pStyle w:val="2"/>
              <w:tabs>
                <w:tab w:val="left" w:pos="546"/>
                <w:tab w:val="left" w:pos="711"/>
              </w:tabs>
              <w:snapToGrid w:val="0"/>
              <w:spacing w:after="0" w:line="400" w:lineRule="exact"/>
              <w:ind w:firstLine="420" w:firstLineChars="200"/>
            </w:pPr>
            <w:r>
              <w:rPr>
                <w:rFonts w:hint="eastAsia"/>
              </w:rPr>
              <w:t>本工程招标</w:t>
            </w:r>
            <w:r>
              <w:t>将设置投标总</w:t>
            </w:r>
            <w:r>
              <w:rPr>
                <w:rFonts w:hint="eastAsia"/>
              </w:rPr>
              <w:t>报价</w:t>
            </w:r>
            <w:r>
              <w:t>最高限价，投标人的投标总报价不得超过投标总报价最高限价，否则由</w:t>
            </w:r>
            <w:r>
              <w:rPr>
                <w:rFonts w:hint="eastAsia"/>
              </w:rPr>
              <w:t>评标</w:t>
            </w:r>
            <w:r>
              <w:t>委员会作否决投标处理</w:t>
            </w:r>
            <w:r>
              <w:rPr>
                <w:rFonts w:hint="eastAsia"/>
              </w:rPr>
              <w:t>。</w:t>
            </w:r>
          </w:p>
          <w:p>
            <w:pPr>
              <w:pStyle w:val="2"/>
              <w:tabs>
                <w:tab w:val="left" w:pos="546"/>
                <w:tab w:val="left" w:pos="711"/>
              </w:tabs>
              <w:snapToGrid w:val="0"/>
              <w:spacing w:after="0" w:line="400" w:lineRule="exact"/>
              <w:ind w:firstLine="420" w:firstLineChars="200"/>
            </w:pPr>
            <w:r>
              <w:rPr>
                <w:rFonts w:hint="eastAsia"/>
              </w:rPr>
              <w:t>最高限价：以实际整理数量*单价为准。</w:t>
            </w:r>
          </w:p>
          <w:p>
            <w:pPr>
              <w:pStyle w:val="2"/>
              <w:tabs>
                <w:tab w:val="left" w:pos="546"/>
                <w:tab w:val="left" w:pos="711"/>
              </w:tabs>
              <w:snapToGrid w:val="0"/>
              <w:spacing w:after="0" w:line="400" w:lineRule="exact"/>
              <w:ind w:firstLine="420" w:firstLineChars="200"/>
            </w:pPr>
            <w:r>
              <w:rPr>
                <w:rFonts w:hint="eastAsia"/>
              </w:rPr>
              <w:t>文书整理为5.5元/件，发文汇集整理为45元/卷；会计凭证整理为5.5元/卷；报表、帐簿整理为45元/卷；工程档案整理为130元/卷；档案录入条目0.6元/条；数字化扫描A4纸以内0.45元/页（彩色）；文书档案盒6元/个：工程档案（套）17元/套；以实际整理数量结算。</w:t>
            </w:r>
          </w:p>
          <w:p>
            <w:pPr>
              <w:pStyle w:val="2"/>
              <w:tabs>
                <w:tab w:val="left" w:pos="546"/>
                <w:tab w:val="left" w:pos="711"/>
              </w:tabs>
              <w:snapToGrid w:val="0"/>
              <w:spacing w:after="0" w:line="400" w:lineRule="exact"/>
              <w:ind w:firstLine="420" w:firstLineChars="200"/>
            </w:pPr>
            <w:r>
              <w:rPr>
                <w:rFonts w:hint="eastAsia"/>
              </w:rPr>
              <w:t xml:space="preserve"> 预付款：50000元。项目全部完工移交给甲方，经甲方验收合格后在5个工作日内付清全部款项给乙方。</w:t>
            </w:r>
          </w:p>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hint="eastAsia" w:ascii="宋体" w:hAnsi="宋体"/>
                <w:kern w:val="0"/>
                <w:szCs w:val="21"/>
              </w:rPr>
              <w:t>3.7.1</w:t>
            </w:r>
          </w:p>
        </w:tc>
        <w:tc>
          <w:tcPr>
            <w:tcW w:w="1451" w:type="dxa"/>
            <w:vAlign w:val="center"/>
          </w:tcPr>
          <w:p>
            <w:pPr>
              <w:snapToGrid w:val="0"/>
              <w:spacing w:after="93" w:afterLines="30" w:line="400" w:lineRule="exact"/>
              <w:jc w:val="center"/>
              <w:rPr>
                <w:rFonts w:ascii="宋体" w:hAnsi="宋体"/>
                <w:kern w:val="0"/>
                <w:szCs w:val="21"/>
              </w:rPr>
            </w:pPr>
            <w:r>
              <w:rPr>
                <w:rFonts w:hint="eastAsia" w:ascii="宋体" w:hAnsi="宋体"/>
                <w:kern w:val="0"/>
                <w:szCs w:val="21"/>
              </w:rPr>
              <w:t>投标文件格式要求</w:t>
            </w:r>
          </w:p>
        </w:tc>
        <w:tc>
          <w:tcPr>
            <w:tcW w:w="6683" w:type="dxa"/>
            <w:vAlign w:val="center"/>
          </w:tcPr>
          <w:p>
            <w:pPr>
              <w:snapToGrid w:val="0"/>
              <w:spacing w:line="400" w:lineRule="exact"/>
              <w:ind w:firstLine="420" w:firstLineChars="200"/>
              <w:rPr>
                <w:rFonts w:ascii="宋体" w:hAnsi="宋体"/>
                <w:kern w:val="0"/>
                <w:szCs w:val="21"/>
              </w:rPr>
            </w:pPr>
            <w:r>
              <w:rPr>
                <w:rFonts w:hint="eastAsia" w:ascii="宋体" w:hAnsi="宋体"/>
                <w:kern w:val="0"/>
                <w:szCs w:val="21"/>
              </w:rPr>
              <w:t>编制投标文件时不得对第八章“投标文件格式”的相应要素作实质性修改，否则视为重大偏差，由评标委员会作否决投标处理。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ascii="宋体" w:hAnsi="宋体"/>
                <w:kern w:val="0"/>
                <w:szCs w:val="21"/>
              </w:rPr>
              <w:t>3.7.2</w:t>
            </w:r>
          </w:p>
        </w:tc>
        <w:tc>
          <w:tcPr>
            <w:tcW w:w="1451" w:type="dxa"/>
            <w:vAlign w:val="center"/>
          </w:tcPr>
          <w:p>
            <w:pPr>
              <w:snapToGrid w:val="0"/>
              <w:spacing w:line="400" w:lineRule="exact"/>
              <w:jc w:val="center"/>
              <w:rPr>
                <w:rFonts w:ascii="宋体" w:hAnsi="宋体"/>
                <w:kern w:val="0"/>
                <w:szCs w:val="21"/>
              </w:rPr>
            </w:pPr>
            <w:r>
              <w:rPr>
                <w:rFonts w:hint="eastAsia" w:ascii="宋体" w:hAnsi="宋体"/>
                <w:kern w:val="0"/>
                <w:szCs w:val="21"/>
              </w:rPr>
              <w:t>签字</w:t>
            </w:r>
            <w:r>
              <w:rPr>
                <w:rFonts w:ascii="宋体" w:hAnsi="宋体"/>
                <w:kern w:val="0"/>
                <w:szCs w:val="21"/>
              </w:rPr>
              <w:t>盖章要求</w:t>
            </w:r>
          </w:p>
        </w:tc>
        <w:tc>
          <w:tcPr>
            <w:tcW w:w="6683" w:type="dxa"/>
            <w:vAlign w:val="center"/>
          </w:tcPr>
          <w:p>
            <w:pPr>
              <w:snapToGrid w:val="0"/>
              <w:spacing w:line="400" w:lineRule="exact"/>
              <w:ind w:firstLine="420" w:firstLineChars="200"/>
              <w:rPr>
                <w:rFonts w:ascii="宋体" w:hAnsi="宋体"/>
                <w:szCs w:val="21"/>
              </w:rPr>
            </w:pPr>
            <w:r>
              <w:rPr>
                <w:rFonts w:hint="eastAsia" w:ascii="宋体" w:hAnsi="宋体"/>
                <w:szCs w:val="21"/>
              </w:rPr>
              <w:t>投标文件应按第八章 投标文件格式要求法定代表人或其委托代理人</w:t>
            </w:r>
            <w:r>
              <w:rPr>
                <w:rFonts w:hint="eastAsia" w:ascii="宋体" w:hAnsi="宋体"/>
                <w:kern w:val="0"/>
                <w:szCs w:val="21"/>
              </w:rPr>
              <w:t>签字</w:t>
            </w:r>
            <w:r>
              <w:rPr>
                <w:rFonts w:hint="eastAsia" w:ascii="宋体" w:hAnsi="宋体"/>
                <w:szCs w:val="21"/>
              </w:rPr>
              <w:t>（或盖章）的须齐全。</w:t>
            </w:r>
          </w:p>
          <w:p>
            <w:pPr>
              <w:snapToGrid w:val="0"/>
              <w:spacing w:line="400" w:lineRule="exact"/>
              <w:ind w:firstLine="420" w:firstLineChars="200"/>
              <w:rPr>
                <w:rFonts w:ascii="宋体" w:hAnsi="宋体"/>
                <w:szCs w:val="21"/>
              </w:rPr>
            </w:pPr>
            <w:r>
              <w:rPr>
                <w:rFonts w:hint="eastAsia" w:ascii="宋体" w:hAnsi="宋体"/>
                <w:szCs w:val="21"/>
              </w:rPr>
              <w:t>未按上述规定执行的，交由评标委员会作否决投标处理。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ascii="宋体" w:hAnsi="宋体"/>
                <w:kern w:val="0"/>
                <w:szCs w:val="21"/>
              </w:rPr>
              <w:t>3.7.3</w:t>
            </w:r>
          </w:p>
        </w:tc>
        <w:tc>
          <w:tcPr>
            <w:tcW w:w="1451" w:type="dxa"/>
            <w:vAlign w:val="center"/>
          </w:tcPr>
          <w:p>
            <w:pPr>
              <w:snapToGrid w:val="0"/>
              <w:spacing w:line="400" w:lineRule="exact"/>
              <w:rPr>
                <w:rFonts w:ascii="宋体" w:hAnsi="宋体"/>
                <w:spacing w:val="-6"/>
                <w:kern w:val="0"/>
                <w:szCs w:val="21"/>
              </w:rPr>
            </w:pPr>
            <w:r>
              <w:rPr>
                <w:rFonts w:ascii="宋体" w:hAnsi="宋体"/>
                <w:spacing w:val="-6"/>
                <w:kern w:val="0"/>
                <w:szCs w:val="21"/>
              </w:rPr>
              <w:t>投标文件的份数</w:t>
            </w:r>
          </w:p>
        </w:tc>
        <w:tc>
          <w:tcPr>
            <w:tcW w:w="6683" w:type="dxa"/>
            <w:vAlign w:val="center"/>
          </w:tcPr>
          <w:p>
            <w:pPr>
              <w:autoSpaceDE w:val="0"/>
              <w:autoSpaceDN w:val="0"/>
              <w:adjustRightInd w:val="0"/>
              <w:snapToGrid w:val="0"/>
              <w:spacing w:after="93" w:afterLines="30" w:line="400" w:lineRule="exact"/>
              <w:ind w:firstLine="420" w:firstLineChars="200"/>
              <w:rPr>
                <w:rFonts w:ascii="宋体" w:hAnsi="宋体"/>
                <w:i/>
                <w:kern w:val="0"/>
                <w:szCs w:val="21"/>
              </w:rPr>
            </w:pPr>
            <w:r>
              <w:rPr>
                <w:rFonts w:hint="eastAsia" w:ascii="宋体" w:hAnsi="宋体"/>
                <w:kern w:val="0"/>
                <w:szCs w:val="21"/>
              </w:rPr>
              <w:t>一份。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40" w:type="dxa"/>
            <w:vAlign w:val="center"/>
          </w:tcPr>
          <w:p>
            <w:pPr>
              <w:snapToGrid w:val="0"/>
              <w:spacing w:line="400" w:lineRule="exact"/>
              <w:jc w:val="center"/>
              <w:rPr>
                <w:rFonts w:ascii="宋体" w:hAnsi="宋体"/>
                <w:kern w:val="0"/>
                <w:szCs w:val="21"/>
              </w:rPr>
            </w:pPr>
            <w:r>
              <w:rPr>
                <w:rFonts w:ascii="宋体" w:hAnsi="宋体"/>
                <w:kern w:val="0"/>
                <w:szCs w:val="21"/>
              </w:rPr>
              <w:t>3.7.4</w:t>
            </w:r>
          </w:p>
        </w:tc>
        <w:tc>
          <w:tcPr>
            <w:tcW w:w="1451" w:type="dxa"/>
            <w:vAlign w:val="center"/>
          </w:tcPr>
          <w:p>
            <w:pPr>
              <w:snapToGrid w:val="0"/>
              <w:spacing w:line="400" w:lineRule="exact"/>
              <w:jc w:val="center"/>
              <w:rPr>
                <w:rFonts w:ascii="宋体" w:hAnsi="宋体"/>
                <w:kern w:val="0"/>
                <w:szCs w:val="21"/>
              </w:rPr>
            </w:pPr>
            <w:r>
              <w:rPr>
                <w:rFonts w:hint="eastAsia" w:ascii="宋体" w:hAnsi="宋体"/>
                <w:kern w:val="0"/>
                <w:szCs w:val="21"/>
              </w:rPr>
              <w:t>编制</w:t>
            </w:r>
            <w:r>
              <w:rPr>
                <w:rFonts w:ascii="宋体" w:hAnsi="宋体"/>
                <w:kern w:val="0"/>
                <w:szCs w:val="21"/>
              </w:rPr>
              <w:t>要求</w:t>
            </w:r>
          </w:p>
        </w:tc>
        <w:tc>
          <w:tcPr>
            <w:tcW w:w="6683" w:type="dxa"/>
            <w:vAlign w:val="center"/>
          </w:tcPr>
          <w:p>
            <w:pPr>
              <w:adjustRightInd w:val="0"/>
              <w:snapToGrid w:val="0"/>
              <w:spacing w:line="400" w:lineRule="exact"/>
              <w:ind w:firstLine="420" w:firstLineChars="200"/>
              <w:rPr>
                <w:rFonts w:ascii="宋体" w:hAnsi="宋体"/>
                <w:szCs w:val="21"/>
              </w:rPr>
            </w:pPr>
            <w:r>
              <w:rPr>
                <w:rFonts w:hint="eastAsia" w:ascii="宋体" w:hAnsi="宋体"/>
                <w:szCs w:val="21"/>
              </w:rPr>
              <w:t>具体要求：</w:t>
            </w:r>
          </w:p>
          <w:p>
            <w:pPr>
              <w:adjustRightInd w:val="0"/>
              <w:snapToGrid w:val="0"/>
              <w:spacing w:line="400" w:lineRule="exact"/>
              <w:ind w:firstLine="420" w:firstLineChars="200"/>
              <w:rPr>
                <w:rFonts w:ascii="宋体" w:hAnsi="宋体"/>
                <w:szCs w:val="21"/>
              </w:rPr>
            </w:pPr>
            <w:r>
              <w:rPr>
                <w:rFonts w:hint="eastAsia" w:ascii="宋体" w:hAnsi="宋体"/>
                <w:szCs w:val="21"/>
              </w:rPr>
              <w:t>（1）投标函部分</w:t>
            </w:r>
          </w:p>
          <w:p>
            <w:pPr>
              <w:adjustRightInd w:val="0"/>
              <w:snapToGrid w:val="0"/>
              <w:spacing w:line="400" w:lineRule="exact"/>
              <w:ind w:firstLine="420" w:firstLineChars="200"/>
              <w:rPr>
                <w:rFonts w:ascii="宋体" w:hAnsi="宋体"/>
                <w:szCs w:val="21"/>
              </w:rPr>
            </w:pPr>
            <w:r>
              <w:rPr>
                <w:rFonts w:hint="eastAsia" w:ascii="宋体" w:hAnsi="宋体"/>
                <w:szCs w:val="21"/>
              </w:rPr>
              <w:t>应按照第八章规定格式排版，并应编制目录。</w:t>
            </w:r>
          </w:p>
          <w:p>
            <w:pPr>
              <w:adjustRightInd w:val="0"/>
              <w:snapToGrid w:val="0"/>
              <w:spacing w:line="400" w:lineRule="exact"/>
              <w:ind w:firstLine="420" w:firstLineChars="200"/>
              <w:rPr>
                <w:rFonts w:ascii="宋体" w:hAnsi="宋体"/>
                <w:szCs w:val="21"/>
              </w:rPr>
            </w:pPr>
            <w:r>
              <w:rPr>
                <w:rFonts w:hint="eastAsia" w:ascii="宋体" w:hAnsi="宋体"/>
                <w:szCs w:val="21"/>
              </w:rPr>
              <w:t>（2）资格审查部分</w:t>
            </w:r>
          </w:p>
          <w:p>
            <w:pPr>
              <w:adjustRightInd w:val="0"/>
              <w:snapToGrid w:val="0"/>
              <w:spacing w:line="400" w:lineRule="exact"/>
              <w:ind w:firstLine="420" w:firstLineChars="200"/>
              <w:rPr>
                <w:rStyle w:val="54"/>
              </w:rPr>
            </w:pPr>
            <w:r>
              <w:rPr>
                <w:rFonts w:hint="eastAsia" w:ascii="宋体" w:hAnsi="宋体"/>
                <w:szCs w:val="21"/>
              </w:rPr>
              <w:t>应按照第八章规定格式排版，并应编制目录。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ascii="宋体" w:hAnsi="宋体"/>
                <w:kern w:val="0"/>
                <w:szCs w:val="21"/>
              </w:rPr>
              <w:t>3.7.5</w:t>
            </w:r>
          </w:p>
        </w:tc>
        <w:tc>
          <w:tcPr>
            <w:tcW w:w="1451" w:type="dxa"/>
            <w:vAlign w:val="center"/>
          </w:tcPr>
          <w:p>
            <w:pPr>
              <w:snapToGrid w:val="0"/>
              <w:spacing w:line="400" w:lineRule="exact"/>
              <w:jc w:val="center"/>
              <w:rPr>
                <w:rFonts w:ascii="宋体" w:hAnsi="宋体"/>
                <w:kern w:val="0"/>
                <w:szCs w:val="21"/>
              </w:rPr>
            </w:pPr>
            <w:r>
              <w:rPr>
                <w:rFonts w:hint="eastAsia" w:ascii="宋体" w:hAnsi="宋体"/>
                <w:kern w:val="0"/>
                <w:szCs w:val="21"/>
              </w:rPr>
              <w:t>编制要求</w:t>
            </w:r>
          </w:p>
        </w:tc>
        <w:tc>
          <w:tcPr>
            <w:tcW w:w="6683" w:type="dxa"/>
            <w:vAlign w:val="center"/>
          </w:tcPr>
          <w:p>
            <w:pPr>
              <w:adjustRightInd w:val="0"/>
              <w:snapToGrid w:val="0"/>
              <w:spacing w:line="400" w:lineRule="exact"/>
              <w:ind w:firstLine="420" w:firstLineChars="200"/>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）投标人在编制投标文件时应当建立分级目录，并按照标签提示导入相关内容。</w:t>
            </w:r>
          </w:p>
          <w:p>
            <w:pPr>
              <w:adjustRightInd w:val="0"/>
              <w:snapToGrid w:val="0"/>
              <w:spacing w:line="400" w:lineRule="exact"/>
              <w:ind w:firstLine="420" w:firstLineChars="200"/>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）按本章前附表第3.7.3项签字盖章要求进行投标文件的签署。</w:t>
            </w:r>
          </w:p>
          <w:p>
            <w:pPr>
              <w:adjustRightInd w:val="0"/>
              <w:snapToGrid w:val="0"/>
              <w:spacing w:line="400" w:lineRule="exact"/>
              <w:ind w:firstLine="420" w:firstLineChars="200"/>
              <w:rPr>
                <w:rFonts w:ascii="宋体" w:hAnsi="宋体"/>
                <w:szCs w:val="21"/>
              </w:rPr>
            </w:pPr>
            <w:r>
              <w:rPr>
                <w:rFonts w:hint="eastAsia" w:ascii="宋体" w:hAnsi="宋体"/>
                <w:szCs w:val="21"/>
              </w:rPr>
              <w:t>具体要求：</w:t>
            </w:r>
          </w:p>
          <w:p>
            <w:pPr>
              <w:adjustRightInd w:val="0"/>
              <w:snapToGrid w:val="0"/>
              <w:spacing w:line="400" w:lineRule="exact"/>
              <w:ind w:firstLine="420" w:firstLineChars="200"/>
              <w:rPr>
                <w:rFonts w:ascii="宋体" w:hAnsi="宋体"/>
                <w:szCs w:val="21"/>
              </w:rPr>
            </w:pPr>
            <w:r>
              <w:rPr>
                <w:rFonts w:hint="eastAsia" w:ascii="宋体" w:hAnsi="宋体"/>
                <w:szCs w:val="21"/>
              </w:rPr>
              <w:t>（1）投标函部分</w:t>
            </w:r>
          </w:p>
          <w:p>
            <w:pPr>
              <w:adjustRightInd w:val="0"/>
              <w:snapToGrid w:val="0"/>
              <w:spacing w:line="400" w:lineRule="exact"/>
              <w:ind w:firstLine="420" w:firstLineChars="200"/>
              <w:rPr>
                <w:rFonts w:ascii="宋体" w:hAnsi="宋体"/>
                <w:szCs w:val="21"/>
              </w:rPr>
            </w:pPr>
            <w:r>
              <w:rPr>
                <w:rFonts w:hint="eastAsia" w:ascii="宋体" w:hAnsi="宋体"/>
                <w:szCs w:val="21"/>
              </w:rPr>
              <w:t>应按照第八章规定格式排版，并应编制目录。</w:t>
            </w:r>
          </w:p>
          <w:p>
            <w:pPr>
              <w:adjustRightInd w:val="0"/>
              <w:snapToGrid w:val="0"/>
              <w:spacing w:line="400" w:lineRule="exact"/>
              <w:ind w:firstLine="420" w:firstLineChars="200"/>
              <w:rPr>
                <w:rFonts w:ascii="宋体" w:hAnsi="宋体"/>
                <w:szCs w:val="21"/>
              </w:rPr>
            </w:pPr>
            <w:r>
              <w:rPr>
                <w:rFonts w:hint="eastAsia" w:ascii="宋体" w:hAnsi="宋体"/>
                <w:szCs w:val="21"/>
              </w:rPr>
              <w:t>（2）资格审查部分</w:t>
            </w:r>
          </w:p>
          <w:p>
            <w:pPr>
              <w:adjustRightInd w:val="0"/>
              <w:snapToGrid w:val="0"/>
              <w:spacing w:line="400" w:lineRule="exact"/>
              <w:ind w:firstLine="420" w:firstLineChars="200"/>
              <w:rPr>
                <w:rFonts w:ascii="宋体" w:hAnsi="宋体"/>
                <w:szCs w:val="21"/>
              </w:rPr>
            </w:pPr>
            <w:r>
              <w:rPr>
                <w:rFonts w:hint="eastAsia" w:ascii="宋体" w:hAnsi="宋体"/>
                <w:szCs w:val="21"/>
              </w:rPr>
              <w:t>应按照第八章规定格式排版，并应编制目录。</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ascii="宋体" w:hAnsi="宋体"/>
                <w:kern w:val="0"/>
                <w:szCs w:val="21"/>
              </w:rPr>
              <w:t>4.1.1</w:t>
            </w:r>
          </w:p>
        </w:tc>
        <w:tc>
          <w:tcPr>
            <w:tcW w:w="1451" w:type="dxa"/>
            <w:vAlign w:val="center"/>
          </w:tcPr>
          <w:p>
            <w:pPr>
              <w:snapToGrid w:val="0"/>
              <w:spacing w:line="400" w:lineRule="exact"/>
              <w:jc w:val="center"/>
              <w:rPr>
                <w:rFonts w:ascii="宋体" w:hAnsi="宋体"/>
                <w:spacing w:val="-6"/>
                <w:kern w:val="0"/>
                <w:szCs w:val="21"/>
              </w:rPr>
            </w:pPr>
            <w:r>
              <w:rPr>
                <w:rFonts w:ascii="宋体" w:hAnsi="宋体"/>
                <w:spacing w:val="-6"/>
                <w:kern w:val="0"/>
                <w:szCs w:val="21"/>
              </w:rPr>
              <w:t>投标文件的密封</w:t>
            </w:r>
          </w:p>
        </w:tc>
        <w:tc>
          <w:tcPr>
            <w:tcW w:w="6683" w:type="dxa"/>
            <w:vAlign w:val="center"/>
          </w:tcPr>
          <w:p>
            <w:pPr>
              <w:adjustRightInd w:val="0"/>
              <w:snapToGrid w:val="0"/>
              <w:spacing w:line="400" w:lineRule="exact"/>
              <w:ind w:firstLine="420" w:firstLineChars="200"/>
              <w:rPr>
                <w:rFonts w:ascii="宋体" w:hAnsi="宋体"/>
                <w:szCs w:val="21"/>
              </w:rPr>
            </w:pPr>
            <w:r>
              <w:rPr>
                <w:rFonts w:hint="eastAsia" w:ascii="宋体" w:hAnsi="宋体"/>
                <w:szCs w:val="21"/>
              </w:rPr>
              <w:t>投标人应用“投标文件”袋单独封装，并在封口处加盖投标人单位法人章，同时“投标文件”袋应按本表第4.1.2项的规定写明相应内容。“投标文件”袋未按要求密封的，采购人应该拒收。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ascii="宋体" w:hAnsi="宋体"/>
                <w:kern w:val="0"/>
                <w:szCs w:val="21"/>
              </w:rPr>
              <w:t>4.1.2</w:t>
            </w:r>
          </w:p>
        </w:tc>
        <w:tc>
          <w:tcPr>
            <w:tcW w:w="1451" w:type="dxa"/>
            <w:vAlign w:val="center"/>
          </w:tcPr>
          <w:p>
            <w:pPr>
              <w:snapToGrid w:val="0"/>
              <w:spacing w:line="400" w:lineRule="exact"/>
              <w:jc w:val="center"/>
              <w:rPr>
                <w:rFonts w:ascii="宋体" w:hAnsi="宋体"/>
                <w:kern w:val="0"/>
                <w:szCs w:val="21"/>
              </w:rPr>
            </w:pPr>
            <w:r>
              <w:rPr>
                <w:rFonts w:ascii="宋体" w:hAnsi="宋体"/>
                <w:kern w:val="0"/>
                <w:szCs w:val="21"/>
              </w:rPr>
              <w:t>封套上写明</w:t>
            </w:r>
          </w:p>
        </w:tc>
        <w:tc>
          <w:tcPr>
            <w:tcW w:w="6683" w:type="dxa"/>
            <w:vAlign w:val="center"/>
          </w:tcPr>
          <w:p>
            <w:pPr>
              <w:snapToGrid w:val="0"/>
              <w:spacing w:line="400" w:lineRule="exact"/>
              <w:ind w:firstLine="420" w:firstLineChars="200"/>
              <w:rPr>
                <w:rFonts w:ascii="宋体" w:hAnsi="宋体"/>
                <w:kern w:val="0"/>
                <w:szCs w:val="21"/>
              </w:rPr>
            </w:pPr>
            <w:r>
              <w:rPr>
                <w:rFonts w:ascii="宋体" w:hAnsi="宋体"/>
                <w:kern w:val="0"/>
                <w:szCs w:val="21"/>
              </w:rPr>
              <w:t>应在</w:t>
            </w:r>
            <w:r>
              <w:rPr>
                <w:rFonts w:ascii="宋体" w:hAnsi="宋体"/>
                <w:szCs w:val="21"/>
              </w:rPr>
              <w:t xml:space="preserve"> </w:t>
            </w:r>
            <w:r>
              <w:rPr>
                <w:rFonts w:ascii="宋体" w:hAnsi="宋体"/>
                <w:kern w:val="0"/>
                <w:szCs w:val="21"/>
              </w:rPr>
              <w:t>“投标文件”袋封套上写明如下内容：</w:t>
            </w:r>
          </w:p>
          <w:p>
            <w:pPr>
              <w:snapToGrid w:val="0"/>
              <w:spacing w:line="400" w:lineRule="exact"/>
              <w:ind w:firstLine="420" w:firstLineChars="200"/>
              <w:rPr>
                <w:rFonts w:ascii="宋体" w:hAnsi="宋体"/>
                <w:kern w:val="0"/>
                <w:szCs w:val="21"/>
                <w:u w:val="single"/>
              </w:rPr>
            </w:pPr>
            <w:r>
              <w:rPr>
                <w:rFonts w:hint="eastAsia" w:ascii="宋体" w:hAnsi="宋体"/>
                <w:kern w:val="0"/>
                <w:szCs w:val="21"/>
              </w:rPr>
              <w:t>采购</w:t>
            </w:r>
            <w:r>
              <w:rPr>
                <w:rFonts w:ascii="宋体" w:hAnsi="宋体"/>
                <w:kern w:val="0"/>
                <w:szCs w:val="21"/>
              </w:rPr>
              <w:t>人名称：</w:t>
            </w:r>
            <w:r>
              <w:rPr>
                <w:rFonts w:hint="eastAsia" w:ascii="宋体" w:hAnsi="宋体"/>
                <w:kern w:val="0"/>
                <w:szCs w:val="21"/>
                <w:u w:val="single"/>
              </w:rPr>
              <w:t xml:space="preserve">            </w:t>
            </w:r>
          </w:p>
          <w:p>
            <w:pPr>
              <w:snapToGrid w:val="0"/>
              <w:spacing w:line="400" w:lineRule="exact"/>
              <w:ind w:firstLine="420" w:firstLineChars="200"/>
              <w:rPr>
                <w:rFonts w:ascii="宋体" w:hAnsi="宋体"/>
                <w:kern w:val="0"/>
                <w:szCs w:val="21"/>
                <w:u w:val="single"/>
              </w:rPr>
            </w:pPr>
            <w:r>
              <w:rPr>
                <w:rFonts w:hint="eastAsia" w:ascii="宋体" w:hAnsi="宋体"/>
                <w:kern w:val="0"/>
                <w:szCs w:val="21"/>
              </w:rPr>
              <w:t>投标人名称：</w:t>
            </w:r>
            <w:r>
              <w:rPr>
                <w:rFonts w:hint="eastAsia" w:ascii="宋体" w:hAnsi="宋体"/>
                <w:kern w:val="0"/>
                <w:szCs w:val="21"/>
                <w:u w:val="single"/>
              </w:rPr>
              <w:t xml:space="preserve">            </w:t>
            </w:r>
          </w:p>
          <w:p>
            <w:pPr>
              <w:snapToGrid w:val="0"/>
              <w:spacing w:line="400" w:lineRule="exact"/>
              <w:ind w:firstLine="420" w:firstLineChars="200"/>
              <w:rPr>
                <w:rFonts w:ascii="宋体" w:hAnsi="宋体"/>
                <w:kern w:val="0"/>
                <w:szCs w:val="21"/>
              </w:rPr>
            </w:pPr>
            <w:r>
              <w:rPr>
                <w:rFonts w:ascii="宋体" w:hAnsi="宋体"/>
                <w:kern w:val="0"/>
                <w:szCs w:val="21"/>
                <w:u w:val="single"/>
              </w:rPr>
              <w:t xml:space="preserve">                （项目名称）</w:t>
            </w:r>
            <w:r>
              <w:rPr>
                <w:rFonts w:ascii="宋体" w:hAnsi="宋体"/>
                <w:kern w:val="0"/>
                <w:szCs w:val="21"/>
              </w:rPr>
              <w:t>投标文件</w:t>
            </w:r>
          </w:p>
          <w:p>
            <w:pPr>
              <w:snapToGrid w:val="0"/>
              <w:spacing w:line="400" w:lineRule="exact"/>
              <w:ind w:firstLine="420" w:firstLineChars="200"/>
              <w:rPr>
                <w:rFonts w:ascii="宋体" w:hAnsi="宋体"/>
                <w:szCs w:val="21"/>
              </w:rPr>
            </w:pPr>
            <w:r>
              <w:rPr>
                <w:rFonts w:ascii="宋体" w:hAnsi="宋体"/>
                <w:kern w:val="0"/>
                <w:szCs w:val="21"/>
              </w:rPr>
              <w:t>在</w:t>
            </w:r>
            <w:r>
              <w:rPr>
                <w:rFonts w:hint="eastAsia" w:ascii="宋体" w:hAnsi="宋体"/>
                <w:kern w:val="0"/>
                <w:szCs w:val="21"/>
                <w:u w:val="single"/>
              </w:rPr>
              <w:t xml:space="preserve">    </w:t>
            </w:r>
            <w:r>
              <w:rPr>
                <w:rFonts w:ascii="宋体" w:hAnsi="宋体"/>
                <w:kern w:val="0"/>
                <w:szCs w:val="21"/>
              </w:rPr>
              <w:t>年</w:t>
            </w:r>
            <w:r>
              <w:rPr>
                <w:rFonts w:hint="eastAsia" w:ascii="宋体" w:hAnsi="宋体"/>
                <w:kern w:val="0"/>
                <w:szCs w:val="21"/>
                <w:u w:val="single"/>
              </w:rPr>
              <w:t xml:space="preserve">    </w:t>
            </w:r>
            <w:r>
              <w:rPr>
                <w:rFonts w:ascii="宋体" w:hAnsi="宋体"/>
                <w:kern w:val="0"/>
                <w:szCs w:val="21"/>
              </w:rPr>
              <w:t>月</w:t>
            </w:r>
            <w:r>
              <w:rPr>
                <w:rFonts w:hint="eastAsia" w:ascii="宋体" w:hAnsi="宋体"/>
                <w:kern w:val="0"/>
                <w:szCs w:val="21"/>
                <w:u w:val="single"/>
              </w:rPr>
              <w:t xml:space="preserve">    </w:t>
            </w:r>
            <w:r>
              <w:rPr>
                <w:rFonts w:ascii="宋体" w:hAnsi="宋体"/>
                <w:kern w:val="0"/>
                <w:szCs w:val="21"/>
              </w:rPr>
              <w:t>日</w:t>
            </w:r>
            <w:r>
              <w:rPr>
                <w:rFonts w:hint="eastAsia" w:ascii="宋体" w:hAnsi="宋体"/>
                <w:kern w:val="0"/>
                <w:szCs w:val="21"/>
                <w:u w:val="single"/>
              </w:rPr>
              <w:t xml:space="preserve">    </w:t>
            </w:r>
            <w:r>
              <w:rPr>
                <w:rFonts w:ascii="宋体" w:hAnsi="宋体"/>
                <w:kern w:val="0"/>
                <w:szCs w:val="21"/>
              </w:rPr>
              <w:t>时</w:t>
            </w:r>
            <w:r>
              <w:rPr>
                <w:rFonts w:hint="eastAsia" w:ascii="宋体" w:hAnsi="宋体"/>
                <w:kern w:val="0"/>
                <w:szCs w:val="21"/>
                <w:u w:val="single"/>
              </w:rPr>
              <w:t xml:space="preserve">    </w:t>
            </w:r>
            <w:r>
              <w:rPr>
                <w:rFonts w:ascii="宋体" w:hAnsi="宋体"/>
                <w:kern w:val="0"/>
                <w:szCs w:val="21"/>
              </w:rPr>
              <w:t>分前不得开启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ascii="宋体" w:hAnsi="宋体"/>
                <w:kern w:val="0"/>
                <w:szCs w:val="21"/>
              </w:rPr>
              <w:t>4.2.1</w:t>
            </w:r>
          </w:p>
        </w:tc>
        <w:tc>
          <w:tcPr>
            <w:tcW w:w="1451" w:type="dxa"/>
            <w:vAlign w:val="center"/>
          </w:tcPr>
          <w:p>
            <w:pPr>
              <w:snapToGrid w:val="0"/>
              <w:spacing w:line="400" w:lineRule="exact"/>
              <w:jc w:val="center"/>
              <w:rPr>
                <w:rFonts w:ascii="宋体" w:hAnsi="宋体"/>
                <w:kern w:val="0"/>
                <w:szCs w:val="21"/>
              </w:rPr>
            </w:pPr>
            <w:r>
              <w:rPr>
                <w:rFonts w:ascii="宋体" w:hAnsi="宋体"/>
                <w:kern w:val="0"/>
                <w:szCs w:val="21"/>
              </w:rPr>
              <w:t>递交投标文件地点</w:t>
            </w:r>
          </w:p>
        </w:tc>
        <w:tc>
          <w:tcPr>
            <w:tcW w:w="6683" w:type="dxa"/>
            <w:vAlign w:val="center"/>
          </w:tcPr>
          <w:p>
            <w:pPr>
              <w:snapToGrid w:val="0"/>
              <w:spacing w:line="400" w:lineRule="exact"/>
              <w:ind w:firstLine="420" w:firstLineChars="200"/>
              <w:rPr>
                <w:rFonts w:ascii="宋体" w:hAnsi="宋体"/>
                <w:bCs/>
                <w:szCs w:val="21"/>
              </w:rPr>
            </w:pPr>
            <w:r>
              <w:rPr>
                <w:rFonts w:hint="eastAsia" w:ascii="宋体" w:hAnsi="宋体"/>
                <w:szCs w:val="21"/>
              </w:rPr>
              <w:t>重庆市南岸区茶园江桥路一号附1号1420办公室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ascii="宋体" w:hAnsi="宋体"/>
                <w:kern w:val="0"/>
                <w:szCs w:val="21"/>
              </w:rPr>
              <w:t>4.2.2</w:t>
            </w:r>
          </w:p>
        </w:tc>
        <w:tc>
          <w:tcPr>
            <w:tcW w:w="1451" w:type="dxa"/>
            <w:vAlign w:val="center"/>
          </w:tcPr>
          <w:p>
            <w:pPr>
              <w:snapToGrid w:val="0"/>
              <w:spacing w:line="400" w:lineRule="exact"/>
              <w:jc w:val="center"/>
              <w:rPr>
                <w:rFonts w:ascii="宋体" w:hAnsi="宋体"/>
                <w:kern w:val="0"/>
                <w:szCs w:val="21"/>
              </w:rPr>
            </w:pPr>
            <w:r>
              <w:rPr>
                <w:rFonts w:ascii="宋体" w:hAnsi="宋体"/>
                <w:kern w:val="0"/>
                <w:szCs w:val="21"/>
              </w:rPr>
              <w:t>是否退还投标文件</w:t>
            </w:r>
          </w:p>
        </w:tc>
        <w:tc>
          <w:tcPr>
            <w:tcW w:w="6683" w:type="dxa"/>
            <w:vAlign w:val="center"/>
          </w:tcPr>
          <w:p>
            <w:pPr>
              <w:snapToGrid w:val="0"/>
              <w:spacing w:line="400" w:lineRule="exact"/>
              <w:ind w:firstLine="420" w:firstLineChars="200"/>
              <w:rPr>
                <w:rFonts w:ascii="宋体" w:hAnsi="宋体"/>
                <w:kern w:val="0"/>
                <w:szCs w:val="21"/>
              </w:rPr>
            </w:pPr>
            <w:r>
              <w:rPr>
                <w:rFonts w:ascii="宋体" w:hAnsi="宋体"/>
                <w:kern w:val="0"/>
                <w:szCs w:val="21"/>
              </w:rPr>
              <w:t>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ascii="宋体" w:hAnsi="宋体"/>
                <w:kern w:val="0"/>
                <w:szCs w:val="21"/>
              </w:rPr>
              <w:t>5.1</w:t>
            </w:r>
            <w:r>
              <w:rPr>
                <w:rFonts w:hint="eastAsia" w:ascii="宋体" w:hAnsi="宋体"/>
                <w:kern w:val="0"/>
                <w:szCs w:val="21"/>
              </w:rPr>
              <w:t>.1</w:t>
            </w:r>
          </w:p>
        </w:tc>
        <w:tc>
          <w:tcPr>
            <w:tcW w:w="1451" w:type="dxa"/>
            <w:vAlign w:val="center"/>
          </w:tcPr>
          <w:p>
            <w:pPr>
              <w:snapToGrid w:val="0"/>
              <w:spacing w:line="400" w:lineRule="exact"/>
              <w:jc w:val="center"/>
              <w:rPr>
                <w:rFonts w:ascii="宋体" w:hAnsi="宋体"/>
                <w:kern w:val="0"/>
                <w:szCs w:val="21"/>
              </w:rPr>
            </w:pPr>
            <w:r>
              <w:rPr>
                <w:rFonts w:ascii="宋体" w:hAnsi="宋体"/>
                <w:kern w:val="0"/>
                <w:szCs w:val="21"/>
              </w:rPr>
              <w:t>开标时间和</w:t>
            </w:r>
          </w:p>
          <w:p>
            <w:pPr>
              <w:snapToGrid w:val="0"/>
              <w:spacing w:line="400" w:lineRule="exact"/>
              <w:jc w:val="center"/>
              <w:rPr>
                <w:rFonts w:ascii="宋体" w:hAnsi="宋体"/>
                <w:kern w:val="0"/>
                <w:szCs w:val="21"/>
              </w:rPr>
            </w:pPr>
            <w:r>
              <w:rPr>
                <w:rFonts w:ascii="宋体" w:hAnsi="宋体"/>
                <w:kern w:val="0"/>
                <w:szCs w:val="21"/>
              </w:rPr>
              <w:t>地点</w:t>
            </w:r>
          </w:p>
        </w:tc>
        <w:tc>
          <w:tcPr>
            <w:tcW w:w="6683" w:type="dxa"/>
            <w:vAlign w:val="center"/>
          </w:tcPr>
          <w:p>
            <w:pPr>
              <w:snapToGrid w:val="0"/>
              <w:spacing w:line="400" w:lineRule="exact"/>
              <w:ind w:firstLine="420" w:firstLineChars="200"/>
              <w:rPr>
                <w:rFonts w:ascii="宋体" w:hAnsi="宋体"/>
                <w:szCs w:val="21"/>
              </w:rPr>
            </w:pPr>
            <w:r>
              <w:rPr>
                <w:rFonts w:ascii="宋体" w:hAnsi="宋体"/>
                <w:kern w:val="0"/>
                <w:szCs w:val="21"/>
              </w:rPr>
              <w:t>开标时间：</w:t>
            </w:r>
            <w:r>
              <w:rPr>
                <w:rFonts w:hint="eastAsia" w:ascii="宋体" w:hAnsi="宋体"/>
                <w:szCs w:val="21"/>
              </w:rPr>
              <w:t>2</w:t>
            </w:r>
            <w:r>
              <w:rPr>
                <w:rFonts w:ascii="宋体" w:hAnsi="宋体"/>
                <w:szCs w:val="21"/>
              </w:rPr>
              <w:t>02</w:t>
            </w:r>
            <w:r>
              <w:rPr>
                <w:rFonts w:hint="eastAsia" w:ascii="宋体" w:hAnsi="宋体"/>
                <w:szCs w:val="21"/>
              </w:rPr>
              <w:t>3</w:t>
            </w:r>
            <w:r>
              <w:rPr>
                <w:rFonts w:ascii="宋体" w:hAnsi="宋体"/>
                <w:szCs w:val="21"/>
              </w:rPr>
              <w:t>年</w:t>
            </w:r>
            <w:r>
              <w:rPr>
                <w:rFonts w:hint="eastAsia" w:ascii="宋体" w:hAnsi="宋体"/>
                <w:szCs w:val="21"/>
              </w:rPr>
              <w:t xml:space="preserve">7  月 </w:t>
            </w:r>
            <w:r>
              <w:rPr>
                <w:rFonts w:hint="eastAsia" w:ascii="宋体" w:hAnsi="宋体"/>
                <w:szCs w:val="21"/>
                <w:lang w:val="en-US" w:eastAsia="zh-CN"/>
              </w:rPr>
              <w:t>31</w:t>
            </w:r>
            <w:bookmarkStart w:id="53" w:name="_GoBack"/>
            <w:bookmarkEnd w:id="53"/>
            <w:r>
              <w:rPr>
                <w:rFonts w:hint="eastAsia" w:ascii="宋体" w:hAnsi="宋体"/>
                <w:szCs w:val="21"/>
              </w:rPr>
              <w:t xml:space="preserve"> 日上午 </w:t>
            </w:r>
            <w:r>
              <w:rPr>
                <w:rFonts w:ascii="宋体" w:hAnsi="宋体"/>
                <w:szCs w:val="21"/>
              </w:rPr>
              <w:t>9</w:t>
            </w:r>
            <w:r>
              <w:rPr>
                <w:rFonts w:hint="eastAsia" w:ascii="宋体" w:hAnsi="宋体"/>
                <w:szCs w:val="21"/>
              </w:rPr>
              <w:t xml:space="preserve"> 点00分</w:t>
            </w:r>
          </w:p>
          <w:p>
            <w:pPr>
              <w:snapToGrid w:val="0"/>
              <w:spacing w:line="400" w:lineRule="exact"/>
              <w:ind w:firstLine="420" w:firstLineChars="200"/>
              <w:rPr>
                <w:rFonts w:ascii="宋体" w:hAnsi="宋体"/>
                <w:bCs/>
                <w:szCs w:val="21"/>
              </w:rPr>
            </w:pPr>
            <w:r>
              <w:rPr>
                <w:rFonts w:ascii="宋体" w:hAnsi="宋体"/>
                <w:kern w:val="0"/>
                <w:szCs w:val="21"/>
              </w:rPr>
              <w:t>开标地点：</w:t>
            </w:r>
            <w:r>
              <w:rPr>
                <w:rFonts w:hint="eastAsia" w:ascii="宋体" w:hAnsi="宋体"/>
                <w:szCs w:val="21"/>
              </w:rPr>
              <w:t>重庆市南岸区茶园江桥路一号附1号1420办公室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szCs w:val="21"/>
              </w:rPr>
            </w:pPr>
            <w:r>
              <w:rPr>
                <w:rFonts w:hint="eastAsia" w:ascii="宋体" w:hAnsi="宋体"/>
                <w:szCs w:val="21"/>
              </w:rPr>
              <w:t>5.2</w:t>
            </w:r>
          </w:p>
        </w:tc>
        <w:tc>
          <w:tcPr>
            <w:tcW w:w="1451" w:type="dxa"/>
            <w:vAlign w:val="center"/>
          </w:tcPr>
          <w:p>
            <w:pPr>
              <w:snapToGrid w:val="0"/>
              <w:spacing w:line="400" w:lineRule="exact"/>
              <w:jc w:val="center"/>
              <w:rPr>
                <w:rFonts w:ascii="宋体" w:hAnsi="宋体"/>
                <w:szCs w:val="21"/>
              </w:rPr>
            </w:pPr>
            <w:r>
              <w:rPr>
                <w:rFonts w:hint="eastAsia" w:ascii="宋体" w:hAnsi="宋体"/>
                <w:szCs w:val="21"/>
              </w:rPr>
              <w:t>开标程序</w:t>
            </w:r>
          </w:p>
        </w:tc>
        <w:tc>
          <w:tcPr>
            <w:tcW w:w="6683" w:type="dxa"/>
            <w:vAlign w:val="center"/>
          </w:tcPr>
          <w:p>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主持人按下列程序进行开标：</w:t>
            </w:r>
          </w:p>
          <w:p>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1. 开标时间（应与投标截止时间一致），经采购人确认开标开始后，开启各投标人按时递交的投标文件，公布投标人名单。</w:t>
            </w:r>
          </w:p>
          <w:p>
            <w:pPr>
              <w:autoSpaceDE w:val="0"/>
              <w:autoSpaceDN w:val="0"/>
              <w:adjustRightInd w:val="0"/>
              <w:snapToGrid w:val="0"/>
              <w:spacing w:line="400" w:lineRule="exact"/>
              <w:ind w:firstLine="420" w:firstLineChars="200"/>
              <w:rPr>
                <w:rFonts w:ascii="宋体" w:hAnsi="宋体"/>
                <w:szCs w:val="21"/>
              </w:rPr>
            </w:pPr>
            <w:r>
              <w:rPr>
                <w:rFonts w:ascii="宋体" w:hAnsi="宋体"/>
                <w:szCs w:val="21"/>
              </w:rPr>
              <w:t>2</w:t>
            </w:r>
            <w:r>
              <w:rPr>
                <w:rFonts w:hint="eastAsia" w:ascii="宋体" w:hAnsi="宋体"/>
                <w:szCs w:val="21"/>
              </w:rPr>
              <w:t>. 公布最高限价。</w:t>
            </w:r>
          </w:p>
          <w:p>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3. 投标人对开标有异议的，应当场提出，由采购人当场答复，并记录到开标记录表中。异议处理完毕后，汇总开标情况，打印开标记录表。</w:t>
            </w:r>
          </w:p>
          <w:p>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4. 投标人代表、采购人代表、监标人、主持人、记录人等有关人员在开标记录上签字确认。因其他原因未能签字的，视为默认开标结果。</w:t>
            </w:r>
          </w:p>
          <w:p>
            <w:pPr>
              <w:autoSpaceDE w:val="0"/>
              <w:autoSpaceDN w:val="0"/>
              <w:adjustRightInd w:val="0"/>
              <w:snapToGrid w:val="0"/>
              <w:spacing w:line="400" w:lineRule="exact"/>
              <w:ind w:firstLine="420" w:firstLineChars="200"/>
              <w:rPr>
                <w:rFonts w:ascii="宋体" w:hAnsi="宋体"/>
                <w:szCs w:val="21"/>
              </w:rPr>
            </w:pPr>
            <w:r>
              <w:rPr>
                <w:rFonts w:hint="eastAsia" w:ascii="宋体" w:hAnsi="宋体"/>
                <w:szCs w:val="21"/>
              </w:rPr>
              <w:t>5. 开标结束。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ascii="宋体" w:hAnsi="宋体"/>
                <w:kern w:val="0"/>
                <w:szCs w:val="21"/>
              </w:rPr>
              <w:t>6.1.1</w:t>
            </w:r>
          </w:p>
        </w:tc>
        <w:tc>
          <w:tcPr>
            <w:tcW w:w="1451" w:type="dxa"/>
            <w:vAlign w:val="center"/>
          </w:tcPr>
          <w:p>
            <w:pPr>
              <w:snapToGrid w:val="0"/>
              <w:spacing w:line="400" w:lineRule="exact"/>
              <w:jc w:val="center"/>
              <w:rPr>
                <w:rFonts w:ascii="宋体" w:hAnsi="宋体"/>
                <w:kern w:val="0"/>
                <w:szCs w:val="21"/>
              </w:rPr>
            </w:pPr>
            <w:r>
              <w:rPr>
                <w:rFonts w:ascii="宋体" w:hAnsi="宋体"/>
                <w:kern w:val="0"/>
                <w:szCs w:val="21"/>
              </w:rPr>
              <w:t>评标委员会的组建</w:t>
            </w:r>
          </w:p>
        </w:tc>
        <w:tc>
          <w:tcPr>
            <w:tcW w:w="6683" w:type="dxa"/>
            <w:vAlign w:val="center"/>
          </w:tcPr>
          <w:p>
            <w:pPr>
              <w:autoSpaceDE w:val="0"/>
              <w:autoSpaceDN w:val="0"/>
              <w:adjustRightInd w:val="0"/>
              <w:snapToGrid w:val="0"/>
              <w:spacing w:line="400" w:lineRule="exact"/>
              <w:ind w:firstLine="436" w:firstLineChars="200"/>
              <w:rPr>
                <w:rFonts w:ascii="宋体" w:hAnsi="宋体"/>
                <w:kern w:val="0"/>
                <w:szCs w:val="21"/>
              </w:rPr>
            </w:pPr>
            <w:r>
              <w:rPr>
                <w:rFonts w:hint="eastAsia" w:ascii="宋体" w:hAnsi="宋体"/>
                <w:spacing w:val="4"/>
                <w:kern w:val="0"/>
                <w:szCs w:val="21"/>
              </w:rPr>
              <w:t>由采购人依法自行组建评标委员会</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ascii="宋体" w:hAnsi="宋体"/>
                <w:kern w:val="0"/>
                <w:szCs w:val="21"/>
              </w:rPr>
              <w:t>7.1</w:t>
            </w:r>
          </w:p>
        </w:tc>
        <w:tc>
          <w:tcPr>
            <w:tcW w:w="1451" w:type="dxa"/>
            <w:vAlign w:val="center"/>
          </w:tcPr>
          <w:p>
            <w:pPr>
              <w:snapToGrid w:val="0"/>
              <w:spacing w:after="62" w:afterLines="20" w:line="400" w:lineRule="exact"/>
              <w:jc w:val="center"/>
              <w:rPr>
                <w:rFonts w:ascii="宋体" w:hAnsi="宋体"/>
                <w:kern w:val="0"/>
                <w:szCs w:val="21"/>
              </w:rPr>
            </w:pPr>
            <w:r>
              <w:rPr>
                <w:rFonts w:ascii="宋体" w:hAnsi="宋体"/>
                <w:kern w:val="0"/>
                <w:szCs w:val="21"/>
              </w:rPr>
              <w:t>是否授权评标委员会确定中标人</w:t>
            </w:r>
          </w:p>
        </w:tc>
        <w:tc>
          <w:tcPr>
            <w:tcW w:w="6683" w:type="dxa"/>
            <w:vAlign w:val="center"/>
          </w:tcPr>
          <w:p>
            <w:pPr>
              <w:snapToGrid w:val="0"/>
              <w:spacing w:line="400" w:lineRule="exact"/>
              <w:ind w:firstLine="420" w:firstLineChars="200"/>
              <w:rPr>
                <w:rFonts w:ascii="宋体" w:hAnsi="宋体"/>
                <w:kern w:val="0"/>
                <w:szCs w:val="21"/>
              </w:rPr>
            </w:pPr>
            <w:r>
              <w:rPr>
                <w:rFonts w:ascii="宋体" w:hAnsi="宋体"/>
                <w:kern w:val="0"/>
                <w:szCs w:val="21"/>
              </w:rPr>
              <w:t>否，推荐经评审合格的</w:t>
            </w:r>
            <w:r>
              <w:rPr>
                <w:rFonts w:hint="eastAsia" w:ascii="宋体" w:hAnsi="宋体"/>
                <w:kern w:val="0"/>
                <w:szCs w:val="21"/>
              </w:rPr>
              <w:t>报价</w:t>
            </w:r>
            <w:r>
              <w:rPr>
                <w:rFonts w:ascii="宋体" w:hAnsi="宋体"/>
                <w:kern w:val="0"/>
                <w:szCs w:val="21"/>
              </w:rPr>
              <w:t>由低到高排名前三名为中标候选人。</w:t>
            </w:r>
            <w:r>
              <w:rPr>
                <w:rFonts w:ascii="宋体" w:hAnsi="宋体"/>
                <w:i/>
                <w:kern w:val="0"/>
                <w:szCs w:val="21"/>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hint="eastAsia" w:ascii="宋体" w:hAnsi="宋体"/>
                <w:kern w:val="0"/>
                <w:szCs w:val="21"/>
              </w:rPr>
              <w:t>7.2</w:t>
            </w:r>
          </w:p>
        </w:tc>
        <w:tc>
          <w:tcPr>
            <w:tcW w:w="1451" w:type="dxa"/>
            <w:vAlign w:val="center"/>
          </w:tcPr>
          <w:p>
            <w:pPr>
              <w:snapToGrid w:val="0"/>
              <w:spacing w:after="62" w:afterLines="20" w:line="400" w:lineRule="exact"/>
              <w:jc w:val="center"/>
              <w:rPr>
                <w:rFonts w:ascii="宋体" w:hAnsi="宋体"/>
                <w:kern w:val="0"/>
                <w:szCs w:val="21"/>
              </w:rPr>
            </w:pPr>
            <w:r>
              <w:rPr>
                <w:rFonts w:ascii="宋体" w:hAnsi="宋体"/>
                <w:kern w:val="0"/>
                <w:szCs w:val="21"/>
              </w:rPr>
              <w:t>中标公示</w:t>
            </w:r>
          </w:p>
        </w:tc>
        <w:tc>
          <w:tcPr>
            <w:tcW w:w="6683" w:type="dxa"/>
            <w:vAlign w:val="center"/>
          </w:tcPr>
          <w:p>
            <w:pPr>
              <w:snapToGrid w:val="0"/>
              <w:spacing w:line="400" w:lineRule="exact"/>
              <w:ind w:firstLine="420" w:firstLineChars="200"/>
              <w:rPr>
                <w:rFonts w:ascii="宋体" w:hAnsi="宋体"/>
                <w:kern w:val="0"/>
                <w:szCs w:val="21"/>
              </w:rPr>
            </w:pPr>
            <w:r>
              <w:rPr>
                <w:rFonts w:hint="eastAsia" w:ascii="宋体" w:hAnsi="宋体" w:cs="宋体"/>
                <w:szCs w:val="21"/>
              </w:rPr>
              <w:t>采购人在收到评标报告后3日内将评标结果在</w:t>
            </w:r>
            <w:r>
              <w:rPr>
                <w:rFonts w:hint="eastAsia" w:ascii="宋体" w:hAnsi="宋体"/>
                <w:kern w:val="0"/>
              </w:rPr>
              <w:t>重庆经开区投资集团官网</w:t>
            </w:r>
            <w:r>
              <w:rPr>
                <w:rFonts w:hint="eastAsia" w:ascii="宋体" w:hAnsi="宋体"/>
                <w:kern w:val="0"/>
                <w:u w:val="single"/>
              </w:rPr>
              <w:t>（</w:t>
            </w:r>
            <w:r>
              <w:fldChar w:fldCharType="begin"/>
            </w:r>
            <w:r>
              <w:instrText xml:space="preserve"> HYPERLINK "http://www.cetzig.com/" </w:instrText>
            </w:r>
            <w:r>
              <w:fldChar w:fldCharType="separate"/>
            </w:r>
            <w:r>
              <w:rPr>
                <w:rStyle w:val="53"/>
                <w:rFonts w:hint="eastAsia" w:ascii="宋体" w:hAnsi="宋体"/>
                <w:kern w:val="0"/>
              </w:rPr>
              <w:t>http://www.cetzig.com/</w:t>
            </w:r>
            <w:r>
              <w:rPr>
                <w:rStyle w:val="53"/>
                <w:rFonts w:hint="eastAsia" w:ascii="宋体" w:hAnsi="宋体"/>
                <w:kern w:val="0"/>
              </w:rPr>
              <w:fldChar w:fldCharType="end"/>
            </w:r>
            <w:r>
              <w:rPr>
                <w:rFonts w:hint="eastAsia" w:ascii="宋体" w:hAnsi="宋体"/>
                <w:kern w:val="0"/>
                <w:u w:val="single"/>
              </w:rPr>
              <w:t>）</w:t>
            </w:r>
            <w:r>
              <w:rPr>
                <w:rFonts w:hint="eastAsia" w:ascii="宋体" w:hAnsi="宋体"/>
                <w:kern w:val="0"/>
              </w:rPr>
              <w:t>和行采家（https://www.gec123.com/）</w:t>
            </w:r>
            <w:r>
              <w:rPr>
                <w:rFonts w:hint="eastAsia" w:ascii="宋体" w:hAnsi="宋体" w:cs="宋体"/>
                <w:szCs w:val="21"/>
              </w:rPr>
              <w:t>上进行公示，公示期为3日。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hint="eastAsia" w:ascii="宋体" w:hAnsi="宋体"/>
                <w:kern w:val="0"/>
                <w:szCs w:val="21"/>
              </w:rPr>
              <w:t>10.7</w:t>
            </w:r>
          </w:p>
        </w:tc>
        <w:tc>
          <w:tcPr>
            <w:tcW w:w="1451" w:type="dxa"/>
            <w:vAlign w:val="center"/>
          </w:tcPr>
          <w:p>
            <w:pPr>
              <w:snapToGrid w:val="0"/>
              <w:spacing w:line="400" w:lineRule="exact"/>
              <w:jc w:val="center"/>
              <w:rPr>
                <w:rFonts w:ascii="宋体" w:hAnsi="宋体"/>
                <w:kern w:val="0"/>
                <w:szCs w:val="21"/>
              </w:rPr>
            </w:pPr>
            <w:r>
              <w:rPr>
                <w:rFonts w:hint="eastAsia" w:ascii="宋体" w:hAnsi="宋体"/>
                <w:kern w:val="0"/>
                <w:szCs w:val="21"/>
              </w:rPr>
              <w:t>关于对采购文件及投标争议的解释</w:t>
            </w:r>
          </w:p>
        </w:tc>
        <w:tc>
          <w:tcPr>
            <w:tcW w:w="6683" w:type="dxa"/>
            <w:vAlign w:val="center"/>
          </w:tcPr>
          <w:p>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对资格预审文件或者采购文件的评标标准和方法，以及资格审查和否决投标条款理解有争议的，应当作出不利于采购人的解释，但违背国家利益、社会公共利益的除外。</w:t>
            </w:r>
          </w:p>
          <w:p>
            <w:pPr>
              <w:autoSpaceDE w:val="0"/>
              <w:autoSpaceDN w:val="0"/>
              <w:adjustRightInd w:val="0"/>
              <w:snapToGrid w:val="0"/>
              <w:spacing w:line="400" w:lineRule="exact"/>
              <w:ind w:firstLine="420" w:firstLineChars="200"/>
              <w:rPr>
                <w:rFonts w:ascii="宋体" w:hAnsi="宋体"/>
                <w:kern w:val="0"/>
                <w:szCs w:val="21"/>
              </w:rPr>
            </w:pPr>
            <w:r>
              <w:rPr>
                <w:rFonts w:hint="eastAsia" w:ascii="宋体" w:hAnsi="宋体"/>
                <w:kern w:val="0"/>
                <w:szCs w:val="21"/>
              </w:rPr>
              <w:t>对投标文件理解有争议的，应当作出不利于提交该投标文件的投标人的解释。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240" w:type="dxa"/>
            <w:vAlign w:val="center"/>
          </w:tcPr>
          <w:p>
            <w:pPr>
              <w:snapToGrid w:val="0"/>
              <w:spacing w:line="400" w:lineRule="exact"/>
              <w:jc w:val="center"/>
              <w:rPr>
                <w:rFonts w:ascii="宋体" w:hAnsi="宋体"/>
                <w:kern w:val="0"/>
                <w:szCs w:val="21"/>
              </w:rPr>
            </w:pPr>
            <w:r>
              <w:rPr>
                <w:rFonts w:hint="eastAsia" w:ascii="宋体" w:hAnsi="宋体"/>
                <w:kern w:val="0"/>
                <w:szCs w:val="21"/>
              </w:rPr>
              <w:t>10.9</w:t>
            </w:r>
          </w:p>
        </w:tc>
        <w:tc>
          <w:tcPr>
            <w:tcW w:w="1451" w:type="dxa"/>
            <w:vAlign w:val="center"/>
          </w:tcPr>
          <w:p>
            <w:pPr>
              <w:snapToGrid w:val="0"/>
              <w:spacing w:line="400" w:lineRule="exact"/>
              <w:jc w:val="center"/>
              <w:rPr>
                <w:rFonts w:ascii="宋体" w:hAnsi="宋体"/>
                <w:kern w:val="0"/>
                <w:szCs w:val="21"/>
              </w:rPr>
            </w:pPr>
            <w:r>
              <w:rPr>
                <w:rFonts w:hint="eastAsia" w:ascii="宋体" w:hAnsi="宋体"/>
                <w:kern w:val="0"/>
                <w:szCs w:val="21"/>
              </w:rPr>
              <w:t>其他</w:t>
            </w:r>
          </w:p>
        </w:tc>
        <w:tc>
          <w:tcPr>
            <w:tcW w:w="6683" w:type="dxa"/>
            <w:vAlign w:val="center"/>
          </w:tcPr>
          <w:p>
            <w:pPr>
              <w:spacing w:line="360" w:lineRule="auto"/>
              <w:ind w:firstLine="422" w:firstLineChars="200"/>
              <w:jc w:val="left"/>
              <w:rPr>
                <w:rFonts w:ascii="宋体" w:hAnsi="宋体"/>
                <w:b/>
                <w:bCs/>
                <w:szCs w:val="21"/>
              </w:rPr>
            </w:pPr>
            <w:r>
              <w:rPr>
                <w:rFonts w:hint="eastAsia" w:ascii="宋体" w:hAnsi="宋体"/>
                <w:b/>
                <w:bCs/>
                <w:kern w:val="0"/>
                <w:szCs w:val="21"/>
              </w:rPr>
              <w:t>1、</w:t>
            </w:r>
            <w:r>
              <w:rPr>
                <w:rFonts w:hint="eastAsia" w:ascii="宋体" w:hAnsi="宋体"/>
                <w:b/>
                <w:bCs/>
                <w:szCs w:val="21"/>
              </w:rPr>
              <w:t>服务款支付：</w:t>
            </w:r>
          </w:p>
          <w:p>
            <w:pPr>
              <w:spacing w:line="360" w:lineRule="auto"/>
              <w:ind w:firstLine="420" w:firstLineChars="200"/>
              <w:jc w:val="left"/>
            </w:pPr>
            <w:r>
              <w:rPr>
                <w:rFonts w:hint="eastAsia"/>
              </w:rPr>
              <w:t>付款方式：银行转账。</w:t>
            </w:r>
          </w:p>
          <w:p>
            <w:pPr>
              <w:spacing w:line="360" w:lineRule="auto"/>
              <w:ind w:firstLine="420" w:firstLineChars="200"/>
              <w:jc w:val="left"/>
            </w:pPr>
            <w:r>
              <w:rPr>
                <w:rFonts w:hint="eastAsia"/>
              </w:rPr>
              <w:t>付款时间：首付款5万元，项目全部完工移交给甲方，经甲方验收合格后在5个工作日内付清全部款项给乙方。</w:t>
            </w:r>
          </w:p>
          <w:p>
            <w:pPr>
              <w:spacing w:line="360" w:lineRule="auto"/>
              <w:ind w:firstLine="422" w:firstLineChars="200"/>
              <w:jc w:val="left"/>
              <w:rPr>
                <w:b/>
                <w:bCs/>
              </w:rPr>
            </w:pPr>
            <w:r>
              <w:rPr>
                <w:b/>
                <w:bCs/>
              </w:rPr>
              <w:t>2、</w:t>
            </w:r>
            <w:r>
              <w:rPr>
                <w:rFonts w:hint="eastAsia"/>
                <w:b/>
                <w:bCs/>
              </w:rPr>
              <w:t>收费标准及结算原则：</w:t>
            </w:r>
          </w:p>
          <w:p>
            <w:pPr>
              <w:spacing w:line="360" w:lineRule="auto"/>
              <w:ind w:firstLine="420" w:firstLineChars="200"/>
              <w:jc w:val="left"/>
            </w:pPr>
            <w:r>
              <w:rPr>
                <w:rFonts w:hint="eastAsia" w:ascii="宋体" w:hAnsi="宋体"/>
                <w:kern w:val="0"/>
                <w:szCs w:val="21"/>
              </w:rPr>
              <w:t>文书档案整理收费标准：文书整理为5.5元/件，发文汇集整理为45元/卷；会计凭证整理为5.5元/卷；报表、帐簿整理为45元/卷；工程档案整理为130元/卷；档案录入条目0.6元/条；数字化扫描A4纸以内0.45元/页（彩色）；文书档案盒6元/个：工程档案（套）17元/套；以实际整理数量结算。</w:t>
            </w:r>
          </w:p>
        </w:tc>
      </w:tr>
    </w:tbl>
    <w:p>
      <w:pPr>
        <w:pStyle w:val="4"/>
        <w:spacing w:before="0" w:after="0" w:line="20" w:lineRule="exact"/>
        <w:rPr>
          <w:rFonts w:ascii="宋体" w:hAnsi="宋体"/>
          <w:b w:val="0"/>
          <w:snapToGrid w:val="0"/>
        </w:rPr>
      </w:pPr>
      <w:bookmarkStart w:id="19" w:name="_Toc277082552"/>
      <w:bookmarkStart w:id="20" w:name="_Toc287607746"/>
      <w:bookmarkStart w:id="21" w:name="_Toc287620685"/>
      <w:bookmarkStart w:id="22" w:name="_Toc430530435"/>
      <w:bookmarkStart w:id="23" w:name="_Toc200513126"/>
      <w:bookmarkStart w:id="24" w:name="_Toc224103317"/>
    </w:p>
    <w:p>
      <w:pPr>
        <w:pStyle w:val="4"/>
        <w:spacing w:before="0" w:after="0" w:line="200" w:lineRule="exact"/>
        <w:rPr>
          <w:rFonts w:ascii="宋体" w:hAnsi="宋体"/>
          <w:b w:val="0"/>
          <w:snapToGrid w:val="0"/>
        </w:rPr>
      </w:pPr>
      <w:r>
        <w:rPr>
          <w:rFonts w:ascii="宋体" w:hAnsi="宋体"/>
          <w:b w:val="0"/>
          <w:snapToGrid w:val="0"/>
        </w:rPr>
        <w:br w:type="page"/>
      </w:r>
    </w:p>
    <w:bookmarkEnd w:id="19"/>
    <w:bookmarkEnd w:id="20"/>
    <w:bookmarkEnd w:id="21"/>
    <w:bookmarkEnd w:id="22"/>
    <w:bookmarkEnd w:id="23"/>
    <w:bookmarkEnd w:id="24"/>
    <w:p>
      <w:pPr>
        <w:pStyle w:val="3"/>
        <w:spacing w:line="360" w:lineRule="auto"/>
        <w:jc w:val="center"/>
        <w:rPr>
          <w:rFonts w:ascii="宋体" w:hAnsi="宋体"/>
          <w:snapToGrid w:val="0"/>
          <w:kern w:val="0"/>
        </w:rPr>
      </w:pPr>
      <w:bookmarkStart w:id="25" w:name="_Toc3833"/>
      <w:r>
        <w:rPr>
          <w:rFonts w:ascii="宋体" w:hAnsi="宋体"/>
          <w:snapToGrid w:val="0"/>
          <w:kern w:val="0"/>
        </w:rPr>
        <w:t>第</w:t>
      </w:r>
      <w:r>
        <w:rPr>
          <w:rFonts w:hint="eastAsia" w:ascii="宋体" w:hAnsi="宋体"/>
          <w:snapToGrid w:val="0"/>
          <w:kern w:val="0"/>
        </w:rPr>
        <w:t>二</w:t>
      </w:r>
      <w:r>
        <w:rPr>
          <w:rFonts w:ascii="宋体" w:hAnsi="宋体"/>
          <w:snapToGrid w:val="0"/>
          <w:kern w:val="0"/>
        </w:rPr>
        <w:t xml:space="preserve">章 </w:t>
      </w:r>
      <w:r>
        <w:rPr>
          <w:rFonts w:hint="eastAsia" w:ascii="宋体" w:hAnsi="宋体"/>
          <w:snapToGrid w:val="0"/>
          <w:kern w:val="0"/>
        </w:rPr>
        <w:t xml:space="preserve"> </w:t>
      </w:r>
      <w:r>
        <w:rPr>
          <w:rFonts w:ascii="宋体" w:hAnsi="宋体"/>
          <w:snapToGrid w:val="0"/>
          <w:kern w:val="0"/>
        </w:rPr>
        <w:t>评标办法（</w:t>
      </w:r>
      <w:r>
        <w:rPr>
          <w:rFonts w:hint="eastAsia" w:ascii="宋体" w:hAnsi="宋体"/>
          <w:snapToGrid w:val="0"/>
          <w:kern w:val="0"/>
        </w:rPr>
        <w:t>经评审的最低投标价法</w:t>
      </w:r>
      <w:r>
        <w:rPr>
          <w:rFonts w:ascii="宋体" w:hAnsi="宋体"/>
          <w:snapToGrid w:val="0"/>
          <w:kern w:val="0"/>
        </w:rPr>
        <w:t>）</w:t>
      </w:r>
      <w:bookmarkEnd w:id="25"/>
    </w:p>
    <w:p>
      <w:pPr>
        <w:keepNext/>
        <w:keepLines/>
        <w:spacing w:before="100" w:after="100" w:line="360" w:lineRule="auto"/>
        <w:outlineLvl w:val="1"/>
        <w:rPr>
          <w:rFonts w:ascii="宋体" w:hAnsi="宋体"/>
          <w:b/>
          <w:sz w:val="32"/>
          <w:szCs w:val="32"/>
        </w:rPr>
      </w:pPr>
      <w:bookmarkStart w:id="26" w:name="_Toc13155"/>
      <w:r>
        <w:rPr>
          <w:rFonts w:hint="eastAsia" w:ascii="宋体" w:hAnsi="宋体"/>
          <w:b/>
          <w:sz w:val="32"/>
          <w:szCs w:val="32"/>
        </w:rPr>
        <w:t>评标办法前附表</w:t>
      </w:r>
      <w:bookmarkEnd w:id="26"/>
    </w:p>
    <w:p>
      <w:pPr>
        <w:spacing w:line="400" w:lineRule="exact"/>
        <w:ind w:firstLine="427" w:firstLineChars="196"/>
        <w:rPr>
          <w:rFonts w:ascii="宋体" w:hAnsi="宋体"/>
          <w:spacing w:val="4"/>
          <w:kern w:val="0"/>
          <w:szCs w:val="21"/>
        </w:rPr>
      </w:pPr>
      <w:bookmarkStart w:id="27" w:name="_Toc13210726"/>
      <w:r>
        <w:rPr>
          <w:rFonts w:ascii="宋体" w:hAnsi="宋体"/>
          <w:spacing w:val="4"/>
          <w:kern w:val="0"/>
          <w:szCs w:val="21"/>
        </w:rPr>
        <w:t>评标办法中的评审内容必须和投标人须知中的对应内容一致，若投标人须知中未作要求的内容，不得列入评标办法作为评定依据。</w:t>
      </w:r>
      <w:bookmarkEnd w:id="27"/>
    </w:p>
    <w:tbl>
      <w:tblPr>
        <w:tblStyle w:val="45"/>
        <w:tblW w:w="96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3"/>
        <w:gridCol w:w="1560"/>
        <w:gridCol w:w="2267"/>
        <w:gridCol w:w="46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1243" w:type="dxa"/>
            <w:tcBorders>
              <w:right w:val="single" w:color="auto" w:sz="4" w:space="0"/>
            </w:tcBorders>
            <w:vAlign w:val="center"/>
          </w:tcPr>
          <w:p>
            <w:pPr>
              <w:spacing w:line="400" w:lineRule="exact"/>
              <w:jc w:val="center"/>
              <w:rPr>
                <w:rFonts w:ascii="宋体" w:hAnsi="宋体"/>
                <w:b/>
                <w:kern w:val="0"/>
              </w:rPr>
            </w:pPr>
            <w:r>
              <w:rPr>
                <w:rFonts w:ascii="宋体" w:hAnsi="宋体"/>
                <w:b/>
                <w:kern w:val="0"/>
              </w:rPr>
              <w:t>条款号</w:t>
            </w:r>
          </w:p>
        </w:tc>
        <w:tc>
          <w:tcPr>
            <w:tcW w:w="1560" w:type="dxa"/>
            <w:tcBorders>
              <w:left w:val="single" w:color="auto" w:sz="4" w:space="0"/>
            </w:tcBorders>
            <w:vAlign w:val="center"/>
          </w:tcPr>
          <w:p>
            <w:pPr>
              <w:spacing w:line="400" w:lineRule="exact"/>
              <w:jc w:val="center"/>
              <w:rPr>
                <w:rFonts w:ascii="宋体" w:hAnsi="宋体"/>
                <w:b/>
                <w:kern w:val="0"/>
              </w:rPr>
            </w:pPr>
            <w:r>
              <w:rPr>
                <w:rFonts w:ascii="宋体" w:hAnsi="宋体"/>
                <w:b/>
                <w:kern w:val="0"/>
              </w:rPr>
              <w:t>评审因素</w:t>
            </w:r>
          </w:p>
        </w:tc>
        <w:tc>
          <w:tcPr>
            <w:tcW w:w="6882" w:type="dxa"/>
            <w:gridSpan w:val="2"/>
            <w:vAlign w:val="center"/>
          </w:tcPr>
          <w:p>
            <w:pPr>
              <w:spacing w:line="400" w:lineRule="exact"/>
              <w:jc w:val="center"/>
              <w:rPr>
                <w:rFonts w:ascii="宋体" w:hAnsi="宋体"/>
                <w:b/>
                <w:kern w:val="0"/>
              </w:rPr>
            </w:pPr>
            <w:r>
              <w:rPr>
                <w:rFonts w:ascii="宋体" w:hAnsi="宋体"/>
                <w:b/>
                <w:kern w:val="0"/>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2" w:hRule="atLeast"/>
        </w:trPr>
        <w:tc>
          <w:tcPr>
            <w:tcW w:w="1243" w:type="dxa"/>
            <w:tcBorders>
              <w:right w:val="single" w:color="auto" w:sz="4" w:space="0"/>
            </w:tcBorders>
            <w:vAlign w:val="center"/>
          </w:tcPr>
          <w:p>
            <w:pPr>
              <w:pStyle w:val="106"/>
              <w:spacing w:line="400" w:lineRule="exact"/>
              <w:ind w:firstLine="420"/>
              <w:rPr>
                <w:sz w:val="21"/>
                <w:szCs w:val="21"/>
              </w:rPr>
            </w:pPr>
            <w:r>
              <w:rPr>
                <w:sz w:val="21"/>
                <w:szCs w:val="21"/>
              </w:rPr>
              <w:t>1</w:t>
            </w:r>
          </w:p>
        </w:tc>
        <w:tc>
          <w:tcPr>
            <w:tcW w:w="1560" w:type="dxa"/>
            <w:tcBorders>
              <w:left w:val="single" w:color="auto" w:sz="4" w:space="0"/>
            </w:tcBorders>
            <w:vAlign w:val="center"/>
          </w:tcPr>
          <w:p>
            <w:pPr>
              <w:pStyle w:val="106"/>
              <w:spacing w:line="400" w:lineRule="exact"/>
              <w:ind w:firstLine="0" w:firstLineChars="0"/>
              <w:jc w:val="center"/>
              <w:rPr>
                <w:sz w:val="21"/>
                <w:szCs w:val="21"/>
              </w:rPr>
            </w:pPr>
            <w:r>
              <w:rPr>
                <w:rFonts w:hint="eastAsia"/>
                <w:sz w:val="21"/>
                <w:szCs w:val="21"/>
              </w:rPr>
              <w:t>评标办法</w:t>
            </w:r>
          </w:p>
        </w:tc>
        <w:tc>
          <w:tcPr>
            <w:tcW w:w="6882" w:type="dxa"/>
            <w:gridSpan w:val="2"/>
            <w:vAlign w:val="center"/>
          </w:tcPr>
          <w:p>
            <w:pPr>
              <w:spacing w:line="400" w:lineRule="exact"/>
              <w:ind w:firstLine="427" w:firstLineChars="196"/>
              <w:rPr>
                <w:rFonts w:ascii="宋体" w:hAnsi="宋体"/>
                <w:spacing w:val="4"/>
                <w:kern w:val="0"/>
                <w:szCs w:val="21"/>
              </w:rPr>
            </w:pPr>
            <w:r>
              <w:rPr>
                <w:rFonts w:hint="eastAsia" w:ascii="宋体" w:hAnsi="宋体"/>
                <w:spacing w:val="4"/>
                <w:kern w:val="0"/>
                <w:szCs w:val="21"/>
              </w:rPr>
              <w:t>本次评标采用经评审的最低投标价法，评标委员会按照本章第2.1款进行报价排序，按照本章第2.2款进行符合性审查，符合性审查合格的投标人中按报价由低到高推荐中标候选人，或根据采购人授权直接确定中标人。若出现投标人投标报价相同的，则以投标文件递交时间优先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vAlign w:val="center"/>
          </w:tcPr>
          <w:p>
            <w:pPr>
              <w:spacing w:line="400" w:lineRule="exact"/>
              <w:jc w:val="center"/>
              <w:rPr>
                <w:rFonts w:ascii="宋体" w:hAnsi="宋体"/>
                <w:kern w:val="0"/>
              </w:rPr>
            </w:pPr>
            <w:r>
              <w:rPr>
                <w:rFonts w:hint="eastAsia" w:ascii="宋体" w:hAnsi="宋体"/>
                <w:kern w:val="0"/>
              </w:rPr>
              <w:t>2.1</w:t>
            </w:r>
          </w:p>
        </w:tc>
        <w:tc>
          <w:tcPr>
            <w:tcW w:w="1560" w:type="dxa"/>
            <w:tcBorders>
              <w:left w:val="single" w:color="auto" w:sz="4" w:space="0"/>
              <w:right w:val="single" w:color="auto" w:sz="4" w:space="0"/>
            </w:tcBorders>
            <w:vAlign w:val="center"/>
          </w:tcPr>
          <w:p>
            <w:pPr>
              <w:spacing w:line="400" w:lineRule="exact"/>
              <w:jc w:val="center"/>
              <w:rPr>
                <w:rFonts w:ascii="宋体" w:hAnsi="宋体"/>
                <w:kern w:val="0"/>
              </w:rPr>
            </w:pPr>
            <w:r>
              <w:rPr>
                <w:rFonts w:ascii="宋体" w:hAnsi="宋体"/>
                <w:kern w:val="0"/>
              </w:rPr>
              <w:t>报价</w:t>
            </w:r>
            <w:r>
              <w:rPr>
                <w:rFonts w:hint="eastAsia" w:ascii="宋体" w:hAnsi="宋体"/>
                <w:kern w:val="0"/>
              </w:rPr>
              <w:t>排序</w:t>
            </w:r>
          </w:p>
        </w:tc>
        <w:tc>
          <w:tcPr>
            <w:tcW w:w="6882" w:type="dxa"/>
            <w:gridSpan w:val="2"/>
            <w:tcBorders>
              <w:left w:val="single" w:color="auto" w:sz="4" w:space="0"/>
            </w:tcBorders>
            <w:vAlign w:val="center"/>
          </w:tcPr>
          <w:p>
            <w:pPr>
              <w:spacing w:line="400" w:lineRule="exact"/>
              <w:ind w:firstLine="420" w:firstLineChars="200"/>
              <w:jc w:val="left"/>
              <w:rPr>
                <w:rFonts w:ascii="宋体" w:hAnsi="宋体"/>
                <w:kern w:val="0"/>
              </w:rPr>
            </w:pPr>
            <w:r>
              <w:rPr>
                <w:rFonts w:hint="eastAsia" w:ascii="宋体" w:hAnsi="宋体"/>
                <w:kern w:val="0"/>
              </w:rPr>
              <w:t>对报价不高于最高限价的所有投标人的投标文件，按照报价由低到高的顺序排序。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tcBorders>
              <w:right w:val="single" w:color="auto" w:sz="4" w:space="0"/>
            </w:tcBorders>
            <w:vAlign w:val="center"/>
          </w:tcPr>
          <w:p>
            <w:pPr>
              <w:spacing w:line="400" w:lineRule="exact"/>
              <w:jc w:val="center"/>
              <w:rPr>
                <w:rFonts w:ascii="宋体" w:hAnsi="宋体"/>
                <w:kern w:val="0"/>
              </w:rPr>
            </w:pPr>
            <w:r>
              <w:rPr>
                <w:rFonts w:hint="eastAsia" w:ascii="宋体" w:hAnsi="宋体"/>
                <w:kern w:val="0"/>
              </w:rPr>
              <w:t>2.2</w:t>
            </w:r>
          </w:p>
        </w:tc>
        <w:tc>
          <w:tcPr>
            <w:tcW w:w="1560" w:type="dxa"/>
            <w:tcBorders>
              <w:left w:val="single" w:color="auto" w:sz="4" w:space="0"/>
              <w:right w:val="single" w:color="auto" w:sz="4" w:space="0"/>
            </w:tcBorders>
            <w:vAlign w:val="center"/>
          </w:tcPr>
          <w:p>
            <w:pPr>
              <w:spacing w:line="400" w:lineRule="exact"/>
              <w:jc w:val="center"/>
              <w:rPr>
                <w:rFonts w:ascii="宋体" w:hAnsi="宋体"/>
                <w:kern w:val="0"/>
              </w:rPr>
            </w:pPr>
            <w:r>
              <w:rPr>
                <w:rFonts w:hint="eastAsia" w:ascii="宋体" w:hAnsi="宋体"/>
                <w:kern w:val="0"/>
              </w:rPr>
              <w:t>符合性审查</w:t>
            </w:r>
          </w:p>
        </w:tc>
        <w:tc>
          <w:tcPr>
            <w:tcW w:w="6882" w:type="dxa"/>
            <w:gridSpan w:val="2"/>
            <w:tcBorders>
              <w:left w:val="single" w:color="auto" w:sz="4" w:space="0"/>
            </w:tcBorders>
            <w:vAlign w:val="center"/>
          </w:tcPr>
          <w:p>
            <w:pPr>
              <w:spacing w:line="400" w:lineRule="exact"/>
              <w:ind w:firstLine="420" w:firstLineChars="200"/>
              <w:jc w:val="left"/>
              <w:rPr>
                <w:rFonts w:ascii="宋体" w:hAnsi="宋体"/>
                <w:kern w:val="0"/>
              </w:rPr>
            </w:pPr>
            <w:r>
              <w:rPr>
                <w:rFonts w:hint="eastAsia" w:ascii="宋体" w:hAnsi="宋体"/>
                <w:kern w:val="0"/>
              </w:rPr>
              <w:t>取报价排序前3名（若实际投标人数量小于勾选数量，</w:t>
            </w:r>
            <w:r>
              <w:rPr>
                <w:rFonts w:hint="eastAsia" w:ascii="宋体" w:hAnsi="宋体"/>
                <w:spacing w:val="4"/>
                <w:kern w:val="0"/>
                <w:szCs w:val="21"/>
              </w:rPr>
              <w:t>则全部纳入）进行符合性审查。符合性审查内容：资格评审、形式评审、响应性评审、投标函部分及经济部分评审。符合性审查</w:t>
            </w:r>
            <w:r>
              <w:rPr>
                <w:rFonts w:hint="eastAsia" w:ascii="宋体" w:hAnsi="宋体"/>
                <w:kern w:val="0"/>
              </w:rPr>
              <w:t>合格的投标人中，报价最低的成为第一中标候选人，报价次低的成为第二中标候选人，依次类推。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restart"/>
            <w:tcBorders>
              <w:right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2.2.</w:t>
            </w:r>
            <w:r>
              <w:rPr>
                <w:rFonts w:ascii="宋体" w:hAnsi="宋体" w:cs="宋体"/>
                <w:szCs w:val="21"/>
              </w:rPr>
              <w:t>1</w:t>
            </w:r>
          </w:p>
        </w:tc>
        <w:tc>
          <w:tcPr>
            <w:tcW w:w="1560" w:type="dxa"/>
            <w:vMerge w:val="restart"/>
            <w:tcBorders>
              <w:left w:val="single" w:color="auto" w:sz="4" w:space="0"/>
              <w:right w:val="single" w:color="auto" w:sz="4" w:space="0"/>
            </w:tcBorders>
            <w:vAlign w:val="center"/>
          </w:tcPr>
          <w:p>
            <w:pPr>
              <w:spacing w:line="400" w:lineRule="exact"/>
              <w:jc w:val="center"/>
              <w:rPr>
                <w:rFonts w:ascii="宋体" w:hAnsi="宋体"/>
                <w:kern w:val="0"/>
              </w:rPr>
            </w:pPr>
            <w:r>
              <w:rPr>
                <w:rFonts w:hint="eastAsia" w:ascii="宋体" w:hAnsi="宋体"/>
                <w:kern w:val="0"/>
              </w:rPr>
              <w:t>资格评审标准</w:t>
            </w: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资质条件</w:t>
            </w:r>
          </w:p>
        </w:tc>
        <w:tc>
          <w:tcPr>
            <w:tcW w:w="4615"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kern w:val="0"/>
              </w:rPr>
            </w:pPr>
            <w:r>
              <w:rPr>
                <w:rFonts w:hint="eastAsia" w:ascii="宋体" w:hAnsi="宋体" w:cs="宋体"/>
                <w:kern w:val="0"/>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jc w:val="center"/>
              <w:rPr>
                <w:rFonts w:ascii="宋体" w:hAnsi="宋体" w:cs="宋体"/>
                <w:szCs w:val="21"/>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kern w:val="0"/>
              </w:rPr>
            </w:pP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营业执照</w:t>
            </w:r>
          </w:p>
        </w:tc>
        <w:tc>
          <w:tcPr>
            <w:tcW w:w="4615" w:type="dxa"/>
            <w:tcBorders>
              <w:top w:val="single" w:color="auto" w:sz="4" w:space="0"/>
              <w:left w:val="single" w:color="auto" w:sz="4" w:space="0"/>
            </w:tcBorders>
            <w:vAlign w:val="center"/>
          </w:tcPr>
          <w:p>
            <w:pPr>
              <w:snapToGrid w:val="0"/>
              <w:spacing w:after="78" w:afterLines="25" w:line="400" w:lineRule="exact"/>
              <w:ind w:firstLine="420" w:firstLineChars="200"/>
              <w:rPr>
                <w:rFonts w:ascii="宋体" w:hAnsi="宋体" w:cs="宋体"/>
                <w:kern w:val="0"/>
              </w:rPr>
            </w:pPr>
            <w:r>
              <w:rPr>
                <w:rFonts w:hint="eastAsia" w:ascii="宋体" w:hAnsi="宋体" w:cs="宋体"/>
                <w:kern w:val="0"/>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jc w:val="center"/>
              <w:rPr>
                <w:rFonts w:ascii="宋体" w:hAnsi="宋体" w:cs="宋体"/>
                <w:szCs w:val="21"/>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kern w:val="0"/>
              </w:rPr>
            </w:pP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安全生产条件</w:t>
            </w:r>
          </w:p>
        </w:tc>
        <w:tc>
          <w:tcPr>
            <w:tcW w:w="4615"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kern w:val="0"/>
              </w:rPr>
            </w:pPr>
            <w:r>
              <w:rPr>
                <w:rFonts w:hint="eastAsia" w:ascii="宋体" w:hAnsi="宋体" w:cs="宋体"/>
                <w:kern w:val="0"/>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jc w:val="center"/>
              <w:rPr>
                <w:rFonts w:ascii="宋体" w:hAnsi="宋体" w:cs="宋体"/>
                <w:szCs w:val="21"/>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kern w:val="0"/>
              </w:rPr>
            </w:pP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□财务要求</w:t>
            </w:r>
          </w:p>
        </w:tc>
        <w:tc>
          <w:tcPr>
            <w:tcW w:w="4615"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kern w:val="0"/>
              </w:rPr>
            </w:pPr>
            <w:r>
              <w:rPr>
                <w:rFonts w:hint="eastAsia" w:ascii="宋体" w:hAnsi="宋体" w:cs="宋体"/>
                <w:kern w:val="0"/>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jc w:val="center"/>
              <w:rPr>
                <w:rFonts w:ascii="宋体" w:hAnsi="宋体" w:cs="宋体"/>
                <w:szCs w:val="21"/>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kern w:val="0"/>
              </w:rPr>
            </w:pPr>
          </w:p>
        </w:tc>
        <w:tc>
          <w:tcPr>
            <w:tcW w:w="2267" w:type="dxa"/>
            <w:tcBorders>
              <w:top w:val="single" w:color="auto" w:sz="4" w:space="0"/>
              <w:left w:val="single" w:color="auto" w:sz="4" w:space="0"/>
              <w:right w:val="single" w:color="auto" w:sz="4" w:space="0"/>
            </w:tcBorders>
            <w:vAlign w:val="center"/>
          </w:tcPr>
          <w:p>
            <w:pPr>
              <w:snapToGrid w:val="0"/>
              <w:spacing w:after="78" w:afterLines="25" w:line="400" w:lineRule="exact"/>
              <w:jc w:val="left"/>
              <w:rPr>
                <w:rFonts w:ascii="宋体" w:hAnsi="宋体" w:cs="宋体"/>
                <w:kern w:val="0"/>
              </w:rPr>
            </w:pPr>
            <w:r>
              <w:rPr>
                <w:rFonts w:hint="eastAsia" w:ascii="宋体" w:hAnsi="宋体" w:cs="宋体"/>
                <w:kern w:val="0"/>
              </w:rPr>
              <w:t>□业绩要求</w:t>
            </w:r>
          </w:p>
        </w:tc>
        <w:tc>
          <w:tcPr>
            <w:tcW w:w="4615"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kern w:val="0"/>
              </w:rPr>
            </w:pPr>
            <w:r>
              <w:rPr>
                <w:rFonts w:hint="eastAsia" w:ascii="宋体" w:hAnsi="宋体" w:cs="宋体"/>
                <w:kern w:val="0"/>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jc w:val="center"/>
              <w:rPr>
                <w:rFonts w:ascii="宋体" w:hAnsi="宋体" w:cs="宋体"/>
                <w:szCs w:val="21"/>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kern w:val="0"/>
              </w:rPr>
            </w:pPr>
          </w:p>
        </w:tc>
        <w:tc>
          <w:tcPr>
            <w:tcW w:w="2267" w:type="dxa"/>
            <w:tcBorders>
              <w:top w:val="single" w:color="auto" w:sz="4" w:space="0"/>
              <w:left w:val="single" w:color="auto" w:sz="4" w:space="0"/>
              <w:right w:val="single" w:color="auto" w:sz="4" w:space="0"/>
            </w:tcBorders>
            <w:vAlign w:val="center"/>
          </w:tcPr>
          <w:p>
            <w:pPr>
              <w:snapToGrid w:val="0"/>
              <w:spacing w:after="78" w:afterLines="25" w:line="400" w:lineRule="exact"/>
              <w:jc w:val="left"/>
              <w:rPr>
                <w:rFonts w:ascii="宋体" w:hAnsi="宋体" w:cs="宋体"/>
                <w:kern w:val="0"/>
              </w:rPr>
            </w:pPr>
            <w:r>
              <w:rPr>
                <w:rFonts w:hint="eastAsia" w:ascii="宋体" w:hAnsi="宋体" w:cs="宋体"/>
                <w:szCs w:val="21"/>
              </w:rPr>
              <w:t>投标截止日投标资格情况</w:t>
            </w:r>
          </w:p>
        </w:tc>
        <w:tc>
          <w:tcPr>
            <w:tcW w:w="4615"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kern w:val="0"/>
              </w:rPr>
            </w:pPr>
            <w:r>
              <w:rPr>
                <w:rFonts w:hint="eastAsia" w:ascii="宋体" w:hAnsi="宋体" w:cs="宋体"/>
                <w:kern w:val="0"/>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jc w:val="center"/>
              <w:rPr>
                <w:rFonts w:ascii="宋体" w:hAnsi="宋体" w:cs="宋体"/>
                <w:szCs w:val="21"/>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kern w:val="0"/>
              </w:rPr>
            </w:pP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项目经理资格要求</w:t>
            </w:r>
          </w:p>
        </w:tc>
        <w:tc>
          <w:tcPr>
            <w:tcW w:w="4615"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kern w:val="0"/>
              </w:rPr>
            </w:pPr>
            <w:r>
              <w:rPr>
                <w:rFonts w:hint="eastAsia" w:ascii="宋体" w:hAnsi="宋体" w:cs="宋体"/>
                <w:kern w:val="0"/>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jc w:val="center"/>
              <w:rPr>
                <w:rFonts w:ascii="宋体" w:hAnsi="宋体" w:cs="宋体"/>
                <w:szCs w:val="21"/>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kern w:val="0"/>
              </w:rPr>
            </w:pP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其他要求</w:t>
            </w:r>
          </w:p>
        </w:tc>
        <w:tc>
          <w:tcPr>
            <w:tcW w:w="4615"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kern w:val="0"/>
                <w:u w:val="single"/>
              </w:rPr>
            </w:pPr>
            <w:r>
              <w:rPr>
                <w:rFonts w:hint="eastAsia" w:ascii="宋体" w:hAnsi="宋体" w:cs="宋体"/>
                <w:kern w:val="0"/>
              </w:rPr>
              <w:t>符合第二章“投标人须知”第1.4.1项规定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243" w:type="dxa"/>
            <w:vMerge w:val="continue"/>
            <w:tcBorders>
              <w:right w:val="single" w:color="auto" w:sz="4" w:space="0"/>
            </w:tcBorders>
            <w:vAlign w:val="center"/>
          </w:tcPr>
          <w:p>
            <w:pPr>
              <w:spacing w:line="400" w:lineRule="exact"/>
              <w:jc w:val="center"/>
              <w:rPr>
                <w:rFonts w:ascii="宋体" w:hAnsi="宋体" w:cs="宋体"/>
                <w:szCs w:val="21"/>
              </w:rPr>
            </w:pPr>
          </w:p>
        </w:tc>
        <w:tc>
          <w:tcPr>
            <w:tcW w:w="1560" w:type="dxa"/>
            <w:vMerge w:val="continue"/>
            <w:tcBorders>
              <w:left w:val="single" w:color="auto" w:sz="4" w:space="0"/>
              <w:right w:val="single" w:color="auto" w:sz="4" w:space="0"/>
            </w:tcBorders>
            <w:vAlign w:val="center"/>
          </w:tcPr>
          <w:p>
            <w:pPr>
              <w:spacing w:line="400" w:lineRule="exact"/>
              <w:jc w:val="center"/>
              <w:rPr>
                <w:rFonts w:ascii="宋体" w:hAnsi="宋体"/>
                <w:kern w:val="0"/>
              </w:rPr>
            </w:pPr>
          </w:p>
        </w:tc>
        <w:tc>
          <w:tcPr>
            <w:tcW w:w="2267" w:type="dxa"/>
            <w:tcBorders>
              <w:top w:val="single" w:color="auto" w:sz="4" w:space="0"/>
              <w:left w:val="single" w:color="auto" w:sz="4" w:space="0"/>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□联合体投标人</w:t>
            </w:r>
          </w:p>
        </w:tc>
        <w:tc>
          <w:tcPr>
            <w:tcW w:w="4615" w:type="dxa"/>
            <w:tcBorders>
              <w:top w:val="single" w:color="auto" w:sz="4" w:space="0"/>
              <w:left w:val="single" w:color="auto" w:sz="4" w:space="0"/>
            </w:tcBorders>
            <w:vAlign w:val="center"/>
          </w:tcPr>
          <w:p>
            <w:pPr>
              <w:snapToGrid w:val="0"/>
              <w:spacing w:line="400" w:lineRule="exact"/>
              <w:ind w:firstLine="420" w:firstLineChars="200"/>
              <w:rPr>
                <w:rFonts w:ascii="宋体" w:hAnsi="宋体" w:cs="宋体"/>
                <w:kern w:val="0"/>
              </w:rPr>
            </w:pPr>
            <w:r>
              <w:rPr>
                <w:rFonts w:hint="eastAsia" w:ascii="宋体" w:hAnsi="宋体" w:cs="宋体"/>
                <w:kern w:val="0"/>
              </w:rPr>
              <w:t>符合第二章“投标人须知”第1.4.2项规定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right w:val="single" w:color="auto" w:sz="4" w:space="0"/>
            </w:tcBorders>
            <w:vAlign w:val="center"/>
          </w:tcPr>
          <w:p>
            <w:pPr>
              <w:spacing w:line="400" w:lineRule="exact"/>
              <w:jc w:val="center"/>
              <w:rPr>
                <w:rFonts w:ascii="宋体" w:hAnsi="宋体"/>
                <w:kern w:val="0"/>
              </w:rPr>
            </w:pPr>
            <w:r>
              <w:rPr>
                <w:rFonts w:ascii="宋体" w:hAnsi="宋体"/>
                <w:kern w:val="0"/>
              </w:rPr>
              <w:t>2.</w:t>
            </w:r>
            <w:r>
              <w:rPr>
                <w:rFonts w:hint="eastAsia" w:ascii="宋体" w:hAnsi="宋体"/>
                <w:kern w:val="0"/>
              </w:rPr>
              <w:t>2</w:t>
            </w:r>
            <w:r>
              <w:rPr>
                <w:rFonts w:ascii="宋体" w:hAnsi="宋体"/>
                <w:kern w:val="0"/>
              </w:rPr>
              <w:t>.2</w:t>
            </w:r>
          </w:p>
        </w:tc>
        <w:tc>
          <w:tcPr>
            <w:tcW w:w="1560" w:type="dxa"/>
            <w:vMerge w:val="restart"/>
            <w:tcBorders>
              <w:left w:val="single" w:color="auto" w:sz="4" w:space="0"/>
            </w:tcBorders>
            <w:vAlign w:val="center"/>
          </w:tcPr>
          <w:p>
            <w:pPr>
              <w:spacing w:line="400" w:lineRule="exact"/>
              <w:jc w:val="center"/>
              <w:rPr>
                <w:rFonts w:ascii="宋体" w:hAnsi="宋体"/>
                <w:kern w:val="0"/>
              </w:rPr>
            </w:pPr>
            <w:r>
              <w:rPr>
                <w:rFonts w:hint="eastAsia" w:ascii="宋体" w:hAnsi="宋体"/>
                <w:kern w:val="0"/>
              </w:rPr>
              <w:t>形式评审标准</w:t>
            </w:r>
          </w:p>
        </w:tc>
        <w:tc>
          <w:tcPr>
            <w:tcW w:w="2267" w:type="dxa"/>
            <w:tcBorders>
              <w:right w:val="single" w:color="auto" w:sz="4" w:space="0"/>
            </w:tcBorders>
            <w:vAlign w:val="center"/>
          </w:tcPr>
          <w:p>
            <w:pPr>
              <w:spacing w:line="400" w:lineRule="exact"/>
              <w:jc w:val="left"/>
              <w:rPr>
                <w:rFonts w:ascii="宋体" w:hAnsi="宋体" w:cs="宋体"/>
                <w:kern w:val="0"/>
              </w:rPr>
            </w:pPr>
            <w:r>
              <w:rPr>
                <w:rFonts w:hint="eastAsia" w:ascii="宋体" w:hAnsi="宋体" w:cs="宋体"/>
                <w:kern w:val="0"/>
              </w:rPr>
              <w:t>投标人名称</w:t>
            </w:r>
          </w:p>
        </w:tc>
        <w:tc>
          <w:tcPr>
            <w:tcW w:w="4615" w:type="dxa"/>
            <w:tcBorders>
              <w:left w:val="single" w:color="auto" w:sz="4" w:space="0"/>
            </w:tcBorders>
            <w:vAlign w:val="center"/>
          </w:tcPr>
          <w:p>
            <w:pPr>
              <w:snapToGrid w:val="0"/>
              <w:spacing w:line="400" w:lineRule="exact"/>
              <w:ind w:firstLine="420" w:firstLineChars="200"/>
              <w:rPr>
                <w:rFonts w:ascii="宋体" w:hAnsi="宋体" w:cs="宋体"/>
                <w:kern w:val="0"/>
              </w:rPr>
            </w:pPr>
            <w:r>
              <w:rPr>
                <w:rFonts w:hint="eastAsia" w:ascii="宋体" w:hAnsi="宋体" w:cs="宋体"/>
                <w:kern w:val="0"/>
              </w:rPr>
              <w:t>与营业执照、资质证书、安全生产许可证一致，依法变更名称的应提交相应证明材料。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b/>
                <w:kern w:val="0"/>
              </w:rPr>
            </w:pPr>
          </w:p>
        </w:tc>
        <w:tc>
          <w:tcPr>
            <w:tcW w:w="1560" w:type="dxa"/>
            <w:vMerge w:val="continue"/>
            <w:tcBorders>
              <w:left w:val="single" w:color="auto" w:sz="4" w:space="0"/>
            </w:tcBorders>
            <w:vAlign w:val="center"/>
          </w:tcPr>
          <w:p>
            <w:pPr>
              <w:spacing w:line="400" w:lineRule="exact"/>
              <w:jc w:val="center"/>
              <w:rPr>
                <w:rFonts w:ascii="宋体" w:hAnsi="宋体"/>
                <w:b/>
                <w:kern w:val="0"/>
              </w:rPr>
            </w:pPr>
          </w:p>
        </w:tc>
        <w:tc>
          <w:tcPr>
            <w:tcW w:w="2267" w:type="dxa"/>
            <w:tcBorders>
              <w:right w:val="single" w:color="auto" w:sz="4" w:space="0"/>
            </w:tcBorders>
            <w:vAlign w:val="center"/>
          </w:tcPr>
          <w:p>
            <w:pPr>
              <w:spacing w:line="400" w:lineRule="exact"/>
              <w:jc w:val="left"/>
              <w:rPr>
                <w:rFonts w:ascii="宋体" w:hAnsi="宋体" w:cs="宋体"/>
                <w:kern w:val="0"/>
              </w:rPr>
            </w:pPr>
            <w:r>
              <w:rPr>
                <w:rFonts w:hint="eastAsia" w:ascii="宋体" w:hAnsi="宋体" w:cs="宋体"/>
                <w:kern w:val="0"/>
              </w:rPr>
              <w:t>投标文件格式</w:t>
            </w:r>
          </w:p>
        </w:tc>
        <w:tc>
          <w:tcPr>
            <w:tcW w:w="4615" w:type="dxa"/>
            <w:tcBorders>
              <w:left w:val="single" w:color="auto" w:sz="4" w:space="0"/>
            </w:tcBorders>
            <w:vAlign w:val="center"/>
          </w:tcPr>
          <w:p>
            <w:pPr>
              <w:snapToGrid w:val="0"/>
              <w:spacing w:line="400" w:lineRule="exact"/>
              <w:ind w:firstLine="380" w:firstLineChars="181"/>
              <w:rPr>
                <w:rFonts w:ascii="宋体" w:hAnsi="宋体" w:cs="宋体"/>
                <w:kern w:val="0"/>
              </w:rPr>
            </w:pPr>
            <w:r>
              <w:rPr>
                <w:rFonts w:hint="eastAsia" w:ascii="宋体" w:hAnsi="宋体" w:cs="宋体"/>
                <w:kern w:val="0"/>
              </w:rPr>
              <w:t>符合第二章“投标人须知”第3.7款的要求（不含投标函部分）。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10" w:hRule="atLeast"/>
        </w:trPr>
        <w:tc>
          <w:tcPr>
            <w:tcW w:w="1243" w:type="dxa"/>
            <w:vMerge w:val="continue"/>
            <w:tcBorders>
              <w:right w:val="single" w:color="auto" w:sz="4" w:space="0"/>
            </w:tcBorders>
            <w:vAlign w:val="center"/>
          </w:tcPr>
          <w:p>
            <w:pPr>
              <w:spacing w:line="400" w:lineRule="exact"/>
              <w:jc w:val="center"/>
              <w:rPr>
                <w:rFonts w:ascii="宋体" w:hAnsi="宋体"/>
                <w:b/>
                <w:kern w:val="0"/>
              </w:rPr>
            </w:pPr>
          </w:p>
        </w:tc>
        <w:tc>
          <w:tcPr>
            <w:tcW w:w="1560" w:type="dxa"/>
            <w:vMerge w:val="continue"/>
            <w:tcBorders>
              <w:left w:val="single" w:color="auto" w:sz="4" w:space="0"/>
            </w:tcBorders>
            <w:vAlign w:val="center"/>
          </w:tcPr>
          <w:p>
            <w:pPr>
              <w:spacing w:line="400" w:lineRule="exact"/>
              <w:jc w:val="center"/>
              <w:rPr>
                <w:rFonts w:ascii="宋体" w:hAnsi="宋体"/>
                <w:b/>
                <w:kern w:val="0"/>
              </w:rPr>
            </w:pPr>
          </w:p>
        </w:tc>
        <w:tc>
          <w:tcPr>
            <w:tcW w:w="2267" w:type="dxa"/>
            <w:tcBorders>
              <w:right w:val="single" w:color="auto" w:sz="4" w:space="0"/>
            </w:tcBorders>
            <w:vAlign w:val="center"/>
          </w:tcPr>
          <w:p>
            <w:pPr>
              <w:spacing w:line="400" w:lineRule="exact"/>
              <w:jc w:val="left"/>
              <w:rPr>
                <w:rFonts w:ascii="宋体" w:hAnsi="宋体" w:cs="宋体"/>
                <w:kern w:val="0"/>
              </w:rPr>
            </w:pPr>
            <w:r>
              <w:rPr>
                <w:rFonts w:hint="eastAsia" w:ascii="宋体" w:hAnsi="宋体" w:cs="宋体"/>
                <w:kern w:val="0"/>
              </w:rPr>
              <w:t>投标文件的签署</w:t>
            </w:r>
          </w:p>
        </w:tc>
        <w:tc>
          <w:tcPr>
            <w:tcW w:w="4615" w:type="dxa"/>
            <w:tcBorders>
              <w:left w:val="single" w:color="auto" w:sz="4" w:space="0"/>
            </w:tcBorders>
            <w:vAlign w:val="center"/>
          </w:tcPr>
          <w:p>
            <w:pPr>
              <w:autoSpaceDE w:val="0"/>
              <w:autoSpaceDN w:val="0"/>
              <w:adjustRightInd w:val="0"/>
              <w:snapToGrid w:val="0"/>
              <w:spacing w:line="400" w:lineRule="exact"/>
              <w:ind w:firstLine="420" w:firstLineChars="200"/>
              <w:rPr>
                <w:rFonts w:ascii="宋体" w:hAnsi="宋体" w:cs="宋体"/>
                <w:kern w:val="0"/>
              </w:rPr>
            </w:pPr>
            <w:r>
              <w:rPr>
                <w:rFonts w:hint="eastAsia" w:ascii="宋体" w:hAnsi="宋体" w:cs="宋体"/>
                <w:kern w:val="0"/>
              </w:rPr>
              <w:t>第八章 投标文件格式（不含投标函部分）要求法定代表人或其委托代理人签字（或盖章）的须齐全。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b/>
                <w:kern w:val="0"/>
              </w:rPr>
            </w:pPr>
          </w:p>
        </w:tc>
        <w:tc>
          <w:tcPr>
            <w:tcW w:w="1560" w:type="dxa"/>
            <w:vMerge w:val="continue"/>
            <w:tcBorders>
              <w:left w:val="single" w:color="auto" w:sz="4" w:space="0"/>
            </w:tcBorders>
            <w:vAlign w:val="center"/>
          </w:tcPr>
          <w:p>
            <w:pPr>
              <w:spacing w:line="400" w:lineRule="exact"/>
              <w:jc w:val="center"/>
              <w:rPr>
                <w:rFonts w:ascii="宋体" w:hAnsi="宋体"/>
                <w:b/>
                <w:kern w:val="0"/>
              </w:rPr>
            </w:pPr>
          </w:p>
        </w:tc>
        <w:tc>
          <w:tcPr>
            <w:tcW w:w="2267" w:type="dxa"/>
            <w:tcBorders>
              <w:right w:val="single" w:color="auto" w:sz="4" w:space="0"/>
            </w:tcBorders>
            <w:vAlign w:val="center"/>
          </w:tcPr>
          <w:p>
            <w:pPr>
              <w:spacing w:line="400" w:lineRule="exact"/>
              <w:jc w:val="left"/>
              <w:rPr>
                <w:rFonts w:ascii="宋体" w:hAnsi="宋体" w:cs="宋体"/>
                <w:kern w:val="0"/>
              </w:rPr>
            </w:pPr>
            <w:r>
              <w:rPr>
                <w:rFonts w:hint="eastAsia" w:ascii="宋体" w:hAnsi="宋体" w:cs="宋体"/>
                <w:kern w:val="0"/>
              </w:rPr>
              <w:t>委托代理人</w:t>
            </w:r>
          </w:p>
        </w:tc>
        <w:tc>
          <w:tcPr>
            <w:tcW w:w="4615" w:type="dxa"/>
            <w:tcBorders>
              <w:left w:val="single" w:color="auto" w:sz="4" w:space="0"/>
            </w:tcBorders>
            <w:vAlign w:val="center"/>
          </w:tcPr>
          <w:p>
            <w:pPr>
              <w:snapToGrid w:val="0"/>
              <w:spacing w:after="78" w:afterLines="25" w:line="400" w:lineRule="exact"/>
              <w:ind w:firstLine="420" w:firstLineChars="200"/>
              <w:rPr>
                <w:rFonts w:ascii="宋体" w:hAnsi="宋体" w:cs="宋体"/>
                <w:kern w:val="0"/>
              </w:rPr>
            </w:pPr>
            <w:r>
              <w:rPr>
                <w:rFonts w:hint="eastAsia" w:ascii="宋体" w:hAnsi="宋体" w:cs="宋体"/>
                <w:kern w:val="0"/>
              </w:rPr>
              <w:t>投标人法定代表人的委托代理人有法定代表人签署的授权委托书和投标人为其缴纳的养老保险。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top w:val="single" w:color="auto" w:sz="4" w:space="0"/>
              <w:right w:val="single" w:color="auto" w:sz="4" w:space="0"/>
            </w:tcBorders>
            <w:vAlign w:val="center"/>
          </w:tcPr>
          <w:p>
            <w:pPr>
              <w:spacing w:line="400" w:lineRule="exact"/>
              <w:jc w:val="center"/>
              <w:rPr>
                <w:rFonts w:ascii="宋体" w:hAnsi="宋体"/>
                <w:kern w:val="0"/>
              </w:rPr>
            </w:pPr>
            <w:r>
              <w:rPr>
                <w:rFonts w:hint="eastAsia" w:ascii="宋体" w:hAnsi="宋体"/>
                <w:kern w:val="0"/>
              </w:rPr>
              <w:t>2.2.4</w:t>
            </w:r>
          </w:p>
        </w:tc>
        <w:tc>
          <w:tcPr>
            <w:tcW w:w="1560" w:type="dxa"/>
            <w:vMerge w:val="restart"/>
            <w:tcBorders>
              <w:top w:val="single" w:color="auto" w:sz="4" w:space="0"/>
              <w:left w:val="single" w:color="auto" w:sz="4" w:space="0"/>
            </w:tcBorders>
            <w:vAlign w:val="center"/>
          </w:tcPr>
          <w:p>
            <w:pPr>
              <w:spacing w:line="400" w:lineRule="exact"/>
              <w:jc w:val="center"/>
              <w:rPr>
                <w:rFonts w:ascii="宋体" w:hAnsi="宋体"/>
                <w:kern w:val="0"/>
              </w:rPr>
            </w:pPr>
            <w:r>
              <w:rPr>
                <w:rFonts w:ascii="宋体" w:hAnsi="宋体"/>
                <w:kern w:val="0"/>
              </w:rPr>
              <w:t>响应性评审标准</w:t>
            </w:r>
          </w:p>
        </w:tc>
        <w:tc>
          <w:tcPr>
            <w:tcW w:w="2267" w:type="dxa"/>
            <w:tcBorders>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投标内容</w:t>
            </w:r>
          </w:p>
        </w:tc>
        <w:tc>
          <w:tcPr>
            <w:tcW w:w="4615" w:type="dxa"/>
            <w:tcBorders>
              <w:left w:val="single" w:color="auto" w:sz="4" w:space="0"/>
            </w:tcBorders>
            <w:vAlign w:val="center"/>
          </w:tcPr>
          <w:p>
            <w:pPr>
              <w:snapToGrid w:val="0"/>
              <w:spacing w:line="400" w:lineRule="exact"/>
              <w:ind w:firstLine="420" w:firstLineChars="200"/>
              <w:rPr>
                <w:rFonts w:ascii="宋体" w:hAnsi="宋体" w:cs="宋体"/>
                <w:kern w:val="0"/>
              </w:rPr>
            </w:pPr>
            <w:r>
              <w:rPr>
                <w:rFonts w:hint="eastAsia" w:ascii="宋体" w:hAnsi="宋体" w:cs="宋体"/>
                <w:kern w:val="0"/>
              </w:rPr>
              <w:t>符合第二章“投标人须知”第1.3.1项规定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kern w:val="0"/>
              </w:rPr>
            </w:pPr>
          </w:p>
        </w:tc>
        <w:tc>
          <w:tcPr>
            <w:tcW w:w="1560" w:type="dxa"/>
            <w:vMerge w:val="continue"/>
            <w:tcBorders>
              <w:left w:val="single" w:color="auto" w:sz="4" w:space="0"/>
            </w:tcBorders>
            <w:vAlign w:val="center"/>
          </w:tcPr>
          <w:p>
            <w:pPr>
              <w:spacing w:line="400" w:lineRule="exact"/>
              <w:jc w:val="center"/>
              <w:rPr>
                <w:rFonts w:ascii="宋体" w:hAnsi="宋体"/>
                <w:kern w:val="0"/>
              </w:rPr>
            </w:pPr>
          </w:p>
        </w:tc>
        <w:tc>
          <w:tcPr>
            <w:tcW w:w="2267" w:type="dxa"/>
            <w:tcBorders>
              <w:right w:val="single" w:color="auto" w:sz="4" w:space="0"/>
            </w:tcBorders>
            <w:vAlign w:val="center"/>
          </w:tcPr>
          <w:p>
            <w:pPr>
              <w:spacing w:line="400" w:lineRule="exact"/>
              <w:jc w:val="left"/>
              <w:rPr>
                <w:rFonts w:ascii="宋体" w:hAnsi="宋体" w:cs="宋体"/>
                <w:kern w:val="0"/>
              </w:rPr>
            </w:pPr>
            <w:r>
              <w:rPr>
                <w:rFonts w:hint="eastAsia" w:ascii="宋体" w:hAnsi="宋体" w:cs="宋体"/>
                <w:kern w:val="0"/>
              </w:rPr>
              <w:t>投标保证金</w:t>
            </w:r>
          </w:p>
        </w:tc>
        <w:tc>
          <w:tcPr>
            <w:tcW w:w="4615" w:type="dxa"/>
            <w:tcBorders>
              <w:left w:val="single" w:color="auto" w:sz="4" w:space="0"/>
            </w:tcBorders>
            <w:vAlign w:val="center"/>
          </w:tcPr>
          <w:p>
            <w:pPr>
              <w:tabs>
                <w:tab w:val="left" w:pos="611"/>
                <w:tab w:val="left" w:pos="669"/>
              </w:tabs>
              <w:snapToGrid w:val="0"/>
              <w:spacing w:line="400" w:lineRule="exact"/>
              <w:ind w:firstLine="420" w:firstLineChars="200"/>
              <w:rPr>
                <w:rFonts w:ascii="宋体" w:hAnsi="宋体" w:cs="宋体"/>
                <w:kern w:val="0"/>
              </w:rPr>
            </w:pPr>
            <w:r>
              <w:rPr>
                <w:rFonts w:hint="eastAsia" w:ascii="宋体" w:hAnsi="宋体" w:cs="宋体"/>
                <w:kern w:val="0"/>
              </w:rPr>
              <w:t>符合第二章“投标人须知前附表”第3.4款规定。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kern w:val="0"/>
              </w:rPr>
            </w:pPr>
          </w:p>
        </w:tc>
        <w:tc>
          <w:tcPr>
            <w:tcW w:w="1560" w:type="dxa"/>
            <w:vMerge w:val="continue"/>
            <w:tcBorders>
              <w:left w:val="single" w:color="auto" w:sz="4" w:space="0"/>
            </w:tcBorders>
            <w:vAlign w:val="center"/>
          </w:tcPr>
          <w:p>
            <w:pPr>
              <w:spacing w:line="400" w:lineRule="exact"/>
              <w:jc w:val="center"/>
              <w:rPr>
                <w:rFonts w:ascii="宋体" w:hAnsi="宋体"/>
                <w:kern w:val="0"/>
              </w:rPr>
            </w:pPr>
          </w:p>
        </w:tc>
        <w:tc>
          <w:tcPr>
            <w:tcW w:w="2267" w:type="dxa"/>
            <w:tcBorders>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权利义务</w:t>
            </w:r>
          </w:p>
        </w:tc>
        <w:tc>
          <w:tcPr>
            <w:tcW w:w="4615" w:type="dxa"/>
            <w:tcBorders>
              <w:left w:val="single" w:color="auto" w:sz="4" w:space="0"/>
            </w:tcBorders>
            <w:vAlign w:val="center"/>
          </w:tcPr>
          <w:p>
            <w:pPr>
              <w:snapToGrid w:val="0"/>
              <w:spacing w:after="31" w:afterLines="10" w:line="400" w:lineRule="exact"/>
              <w:ind w:firstLine="420" w:firstLineChars="200"/>
              <w:rPr>
                <w:rFonts w:ascii="宋体" w:hAnsi="宋体" w:cs="宋体"/>
                <w:kern w:val="0"/>
              </w:rPr>
            </w:pPr>
            <w:r>
              <w:rPr>
                <w:rFonts w:hint="eastAsia" w:ascii="宋体" w:hAnsi="宋体" w:cs="宋体"/>
                <w:kern w:val="0"/>
              </w:rPr>
              <w:t>符合第四章“合同条款及格式”规定，投标文件不应附有采购人不能接受的条件。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kern w:val="0"/>
              </w:rPr>
            </w:pPr>
          </w:p>
        </w:tc>
        <w:tc>
          <w:tcPr>
            <w:tcW w:w="1560" w:type="dxa"/>
            <w:vMerge w:val="continue"/>
            <w:tcBorders>
              <w:left w:val="single" w:color="auto" w:sz="4" w:space="0"/>
            </w:tcBorders>
            <w:vAlign w:val="center"/>
          </w:tcPr>
          <w:p>
            <w:pPr>
              <w:spacing w:line="400" w:lineRule="exact"/>
              <w:jc w:val="center"/>
              <w:rPr>
                <w:rFonts w:ascii="宋体" w:hAnsi="宋体"/>
                <w:kern w:val="0"/>
              </w:rPr>
            </w:pPr>
          </w:p>
        </w:tc>
        <w:tc>
          <w:tcPr>
            <w:tcW w:w="2267" w:type="dxa"/>
            <w:tcBorders>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技术标准和要求</w:t>
            </w:r>
          </w:p>
        </w:tc>
        <w:tc>
          <w:tcPr>
            <w:tcW w:w="4615" w:type="dxa"/>
            <w:tcBorders>
              <w:left w:val="single" w:color="auto" w:sz="4" w:space="0"/>
            </w:tcBorders>
            <w:vAlign w:val="center"/>
          </w:tcPr>
          <w:p>
            <w:pPr>
              <w:snapToGrid w:val="0"/>
              <w:spacing w:after="31" w:afterLines="10" w:line="400" w:lineRule="exact"/>
              <w:ind w:firstLine="420" w:firstLineChars="200"/>
              <w:rPr>
                <w:rFonts w:ascii="宋体" w:hAnsi="宋体" w:cs="宋体"/>
                <w:kern w:val="0"/>
              </w:rPr>
            </w:pPr>
            <w:r>
              <w:rPr>
                <w:rFonts w:hint="eastAsia" w:ascii="宋体" w:hAnsi="宋体" w:cs="宋体"/>
                <w:kern w:val="0"/>
              </w:rPr>
              <w:t>符合第七章“技术标准和要求”规定。（由投标人承诺，承诺书格式详见第八章投标文件格式。）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bottom w:val="single" w:color="auto" w:sz="4" w:space="0"/>
              <w:right w:val="single" w:color="auto" w:sz="4" w:space="0"/>
            </w:tcBorders>
            <w:vAlign w:val="center"/>
          </w:tcPr>
          <w:p>
            <w:pPr>
              <w:spacing w:line="400" w:lineRule="exact"/>
              <w:jc w:val="center"/>
              <w:rPr>
                <w:rFonts w:ascii="宋体" w:hAnsi="宋体"/>
                <w:kern w:val="0"/>
              </w:rPr>
            </w:pPr>
          </w:p>
        </w:tc>
        <w:tc>
          <w:tcPr>
            <w:tcW w:w="1560" w:type="dxa"/>
            <w:vMerge w:val="continue"/>
            <w:tcBorders>
              <w:left w:val="single" w:color="auto" w:sz="4" w:space="0"/>
              <w:bottom w:val="single" w:color="auto" w:sz="4" w:space="0"/>
            </w:tcBorders>
            <w:vAlign w:val="center"/>
          </w:tcPr>
          <w:p>
            <w:pPr>
              <w:spacing w:line="400" w:lineRule="exact"/>
              <w:jc w:val="center"/>
              <w:rPr>
                <w:rFonts w:ascii="宋体" w:hAnsi="宋体"/>
                <w:kern w:val="0"/>
              </w:rPr>
            </w:pPr>
          </w:p>
        </w:tc>
        <w:tc>
          <w:tcPr>
            <w:tcW w:w="2267" w:type="dxa"/>
            <w:tcBorders>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实质性要求</w:t>
            </w:r>
          </w:p>
        </w:tc>
        <w:tc>
          <w:tcPr>
            <w:tcW w:w="4615" w:type="dxa"/>
            <w:tcBorders>
              <w:left w:val="single" w:color="auto" w:sz="4" w:space="0"/>
            </w:tcBorders>
            <w:vAlign w:val="center"/>
          </w:tcPr>
          <w:p>
            <w:pPr>
              <w:snapToGrid w:val="0"/>
              <w:spacing w:after="31" w:afterLines="10" w:line="400" w:lineRule="exact"/>
              <w:ind w:firstLine="420" w:firstLineChars="200"/>
              <w:rPr>
                <w:rFonts w:ascii="宋体" w:hAnsi="宋体" w:cs="宋体"/>
                <w:kern w:val="0"/>
              </w:rPr>
            </w:pPr>
            <w:r>
              <w:rPr>
                <w:rFonts w:hint="eastAsia" w:ascii="宋体" w:hAnsi="宋体" w:cs="宋体"/>
                <w:kern w:val="0"/>
              </w:rPr>
              <w:t>符合第二章“投标人须知”第1.4.3项规定。</w:t>
            </w:r>
          </w:p>
          <w:p>
            <w:pPr>
              <w:snapToGrid w:val="0"/>
              <w:spacing w:after="31" w:afterLines="10" w:line="400" w:lineRule="exact"/>
              <w:ind w:firstLine="420" w:firstLineChars="200"/>
              <w:rPr>
                <w:rFonts w:ascii="宋体" w:hAnsi="宋体" w:cs="宋体"/>
                <w:kern w:val="0"/>
              </w:rPr>
            </w:pPr>
            <w:r>
              <w:rPr>
                <w:rFonts w:hint="eastAsia" w:ascii="宋体" w:hAnsi="宋体" w:cs="宋体"/>
                <w:kern w:val="0"/>
              </w:rPr>
              <w:t>本次投标不得有串通投标、弄虚作假等其他违反招投标相关法律、法规行为。</w:t>
            </w:r>
          </w:p>
          <w:p>
            <w:pPr>
              <w:snapToGrid w:val="0"/>
              <w:spacing w:after="31" w:afterLines="10" w:line="400" w:lineRule="exact"/>
              <w:ind w:firstLine="420" w:firstLineChars="200"/>
              <w:rPr>
                <w:rFonts w:ascii="宋体" w:hAnsi="宋体" w:cs="宋体"/>
                <w:kern w:val="0"/>
              </w:rPr>
            </w:pPr>
            <w:r>
              <w:rPr>
                <w:rFonts w:hint="eastAsia" w:ascii="宋体" w:hAnsi="宋体" w:cs="宋体"/>
                <w:kern w:val="0"/>
              </w:rPr>
              <w:t>按评标委员会要求澄清、说明或补正。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restart"/>
            <w:tcBorders>
              <w:top w:val="single" w:color="auto" w:sz="4" w:space="0"/>
              <w:right w:val="single" w:color="auto" w:sz="4" w:space="0"/>
            </w:tcBorders>
            <w:vAlign w:val="center"/>
          </w:tcPr>
          <w:p>
            <w:pPr>
              <w:spacing w:line="400" w:lineRule="exact"/>
              <w:jc w:val="center"/>
              <w:rPr>
                <w:rFonts w:ascii="宋体" w:hAnsi="宋体"/>
                <w:kern w:val="0"/>
              </w:rPr>
            </w:pPr>
            <w:r>
              <w:rPr>
                <w:rFonts w:hint="eastAsia" w:ascii="宋体" w:hAnsi="宋体"/>
                <w:kern w:val="0"/>
              </w:rPr>
              <w:t>2.2.5</w:t>
            </w:r>
          </w:p>
        </w:tc>
        <w:tc>
          <w:tcPr>
            <w:tcW w:w="1560" w:type="dxa"/>
            <w:vMerge w:val="restart"/>
            <w:tcBorders>
              <w:top w:val="single" w:color="auto" w:sz="4" w:space="0"/>
              <w:left w:val="single" w:color="auto" w:sz="4" w:space="0"/>
            </w:tcBorders>
            <w:vAlign w:val="center"/>
          </w:tcPr>
          <w:p>
            <w:pPr>
              <w:spacing w:line="400" w:lineRule="exact"/>
              <w:jc w:val="center"/>
              <w:rPr>
                <w:rFonts w:ascii="宋体" w:hAnsi="宋体"/>
                <w:kern w:val="0"/>
              </w:rPr>
            </w:pPr>
            <w:r>
              <w:rPr>
                <w:rFonts w:hint="eastAsia" w:ascii="宋体" w:hAnsi="宋体"/>
                <w:kern w:val="0"/>
              </w:rPr>
              <w:t>投标函部分及经济部分评审标准</w:t>
            </w:r>
          </w:p>
        </w:tc>
        <w:tc>
          <w:tcPr>
            <w:tcW w:w="2267" w:type="dxa"/>
            <w:tcBorders>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投标函部分的格式</w:t>
            </w:r>
          </w:p>
        </w:tc>
        <w:tc>
          <w:tcPr>
            <w:tcW w:w="4615" w:type="dxa"/>
            <w:tcBorders>
              <w:left w:val="single" w:color="auto" w:sz="4" w:space="0"/>
            </w:tcBorders>
            <w:vAlign w:val="center"/>
          </w:tcPr>
          <w:p>
            <w:pPr>
              <w:snapToGrid w:val="0"/>
              <w:spacing w:after="31" w:afterLines="10" w:line="400" w:lineRule="exact"/>
              <w:ind w:firstLine="420" w:firstLineChars="200"/>
              <w:rPr>
                <w:rFonts w:ascii="宋体" w:hAnsi="宋体" w:cs="宋体"/>
                <w:kern w:val="0"/>
              </w:rPr>
            </w:pPr>
            <w:r>
              <w:rPr>
                <w:rFonts w:hint="eastAsia" w:ascii="宋体" w:hAnsi="宋体" w:cs="宋体"/>
                <w:kern w:val="0"/>
              </w:rPr>
              <w:t>符合第二章“投标人须知”第3.7款的要求。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kern w:val="0"/>
              </w:rPr>
            </w:pPr>
          </w:p>
        </w:tc>
        <w:tc>
          <w:tcPr>
            <w:tcW w:w="1560" w:type="dxa"/>
            <w:vMerge w:val="continue"/>
            <w:tcBorders>
              <w:left w:val="single" w:color="auto" w:sz="4" w:space="0"/>
            </w:tcBorders>
            <w:vAlign w:val="center"/>
          </w:tcPr>
          <w:p>
            <w:pPr>
              <w:spacing w:line="400" w:lineRule="exact"/>
              <w:jc w:val="center"/>
              <w:rPr>
                <w:rFonts w:ascii="宋体" w:hAnsi="宋体"/>
                <w:kern w:val="0"/>
              </w:rPr>
            </w:pPr>
          </w:p>
        </w:tc>
        <w:tc>
          <w:tcPr>
            <w:tcW w:w="2267" w:type="dxa"/>
            <w:tcBorders>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投标函部分的签字盖章</w:t>
            </w:r>
          </w:p>
        </w:tc>
        <w:tc>
          <w:tcPr>
            <w:tcW w:w="4615" w:type="dxa"/>
            <w:tcBorders>
              <w:left w:val="single" w:color="auto" w:sz="4" w:space="0"/>
            </w:tcBorders>
            <w:vAlign w:val="center"/>
          </w:tcPr>
          <w:p>
            <w:pPr>
              <w:snapToGrid w:val="0"/>
              <w:spacing w:after="31" w:afterLines="10" w:line="400" w:lineRule="exact"/>
              <w:ind w:firstLine="420" w:firstLineChars="200"/>
              <w:rPr>
                <w:rFonts w:ascii="宋体" w:hAnsi="宋体" w:cs="宋体"/>
                <w:kern w:val="0"/>
              </w:rPr>
            </w:pPr>
            <w:r>
              <w:rPr>
                <w:rFonts w:hint="eastAsia" w:ascii="宋体" w:hAnsi="宋体" w:cs="宋体"/>
                <w:kern w:val="0"/>
              </w:rPr>
              <w:t>投标函部分的格式要求法定代表人或其委托代理人签字（或盖章）的须齐全。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kern w:val="0"/>
              </w:rPr>
            </w:pPr>
          </w:p>
        </w:tc>
        <w:tc>
          <w:tcPr>
            <w:tcW w:w="1560" w:type="dxa"/>
            <w:vMerge w:val="continue"/>
            <w:tcBorders>
              <w:left w:val="single" w:color="auto" w:sz="4" w:space="0"/>
            </w:tcBorders>
            <w:vAlign w:val="center"/>
          </w:tcPr>
          <w:p>
            <w:pPr>
              <w:spacing w:line="400" w:lineRule="exact"/>
              <w:jc w:val="center"/>
              <w:rPr>
                <w:rFonts w:ascii="宋体" w:hAnsi="宋体"/>
                <w:kern w:val="0"/>
              </w:rPr>
            </w:pPr>
          </w:p>
        </w:tc>
        <w:tc>
          <w:tcPr>
            <w:tcW w:w="2267" w:type="dxa"/>
            <w:tcBorders>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工期</w:t>
            </w:r>
          </w:p>
        </w:tc>
        <w:tc>
          <w:tcPr>
            <w:tcW w:w="4615" w:type="dxa"/>
            <w:tcBorders>
              <w:left w:val="single" w:color="auto" w:sz="4" w:space="0"/>
            </w:tcBorders>
            <w:vAlign w:val="center"/>
          </w:tcPr>
          <w:p>
            <w:pPr>
              <w:snapToGrid w:val="0"/>
              <w:spacing w:after="31" w:afterLines="10" w:line="400" w:lineRule="exact"/>
              <w:ind w:firstLine="420" w:firstLineChars="200"/>
              <w:rPr>
                <w:rFonts w:ascii="宋体" w:hAnsi="宋体" w:cs="宋体"/>
                <w:kern w:val="0"/>
              </w:rPr>
            </w:pPr>
            <w:r>
              <w:rPr>
                <w:rFonts w:hint="eastAsia" w:ascii="宋体" w:hAnsi="宋体" w:cs="宋体"/>
                <w:kern w:val="0"/>
              </w:rPr>
              <w:t>符合第二章“投标人须知”第1.3.2项规定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kern w:val="0"/>
              </w:rPr>
            </w:pPr>
          </w:p>
        </w:tc>
        <w:tc>
          <w:tcPr>
            <w:tcW w:w="1560" w:type="dxa"/>
            <w:vMerge w:val="continue"/>
            <w:tcBorders>
              <w:left w:val="single" w:color="auto" w:sz="4" w:space="0"/>
            </w:tcBorders>
            <w:vAlign w:val="center"/>
          </w:tcPr>
          <w:p>
            <w:pPr>
              <w:spacing w:line="400" w:lineRule="exact"/>
              <w:jc w:val="center"/>
              <w:rPr>
                <w:rFonts w:ascii="宋体" w:hAnsi="宋体"/>
                <w:kern w:val="0"/>
              </w:rPr>
            </w:pPr>
          </w:p>
        </w:tc>
        <w:tc>
          <w:tcPr>
            <w:tcW w:w="2267" w:type="dxa"/>
            <w:tcBorders>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工程质量</w:t>
            </w:r>
          </w:p>
        </w:tc>
        <w:tc>
          <w:tcPr>
            <w:tcW w:w="4615" w:type="dxa"/>
            <w:tcBorders>
              <w:left w:val="single" w:color="auto" w:sz="4" w:space="0"/>
            </w:tcBorders>
            <w:vAlign w:val="center"/>
          </w:tcPr>
          <w:p>
            <w:pPr>
              <w:snapToGrid w:val="0"/>
              <w:spacing w:after="31" w:afterLines="10" w:line="400" w:lineRule="exact"/>
              <w:ind w:firstLine="420" w:firstLineChars="200"/>
              <w:rPr>
                <w:rFonts w:ascii="宋体" w:hAnsi="宋体" w:cs="宋体"/>
                <w:kern w:val="0"/>
              </w:rPr>
            </w:pPr>
            <w:r>
              <w:rPr>
                <w:rFonts w:hint="eastAsia" w:ascii="宋体" w:hAnsi="宋体" w:cs="宋体"/>
                <w:kern w:val="0"/>
              </w:rPr>
              <w:t>符合第二章“投标人须知”第1.3.3项规定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kern w:val="0"/>
              </w:rPr>
            </w:pPr>
          </w:p>
        </w:tc>
        <w:tc>
          <w:tcPr>
            <w:tcW w:w="1560" w:type="dxa"/>
            <w:vMerge w:val="continue"/>
            <w:tcBorders>
              <w:left w:val="single" w:color="auto" w:sz="4" w:space="0"/>
            </w:tcBorders>
            <w:vAlign w:val="center"/>
          </w:tcPr>
          <w:p>
            <w:pPr>
              <w:spacing w:line="400" w:lineRule="exact"/>
              <w:jc w:val="center"/>
              <w:rPr>
                <w:rFonts w:ascii="宋体" w:hAnsi="宋体"/>
                <w:kern w:val="0"/>
              </w:rPr>
            </w:pPr>
          </w:p>
        </w:tc>
        <w:tc>
          <w:tcPr>
            <w:tcW w:w="2267" w:type="dxa"/>
            <w:tcBorders>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投标有效期</w:t>
            </w:r>
          </w:p>
        </w:tc>
        <w:tc>
          <w:tcPr>
            <w:tcW w:w="4615" w:type="dxa"/>
            <w:tcBorders>
              <w:left w:val="single" w:color="auto" w:sz="4" w:space="0"/>
            </w:tcBorders>
            <w:vAlign w:val="center"/>
          </w:tcPr>
          <w:p>
            <w:pPr>
              <w:snapToGrid w:val="0"/>
              <w:spacing w:after="31" w:afterLines="10" w:line="400" w:lineRule="exact"/>
              <w:ind w:firstLine="420" w:firstLineChars="200"/>
              <w:rPr>
                <w:rFonts w:ascii="宋体" w:hAnsi="宋体" w:cs="宋体"/>
                <w:kern w:val="0"/>
              </w:rPr>
            </w:pPr>
            <w:r>
              <w:rPr>
                <w:rFonts w:hint="eastAsia" w:ascii="宋体" w:hAnsi="宋体" w:cs="宋体"/>
                <w:kern w:val="0"/>
              </w:rPr>
              <w:t>符合第二章“投标人须知”第3.3.1项规定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kern w:val="0"/>
              </w:rPr>
            </w:pPr>
          </w:p>
        </w:tc>
        <w:tc>
          <w:tcPr>
            <w:tcW w:w="1560" w:type="dxa"/>
            <w:vMerge w:val="continue"/>
            <w:tcBorders>
              <w:left w:val="single" w:color="auto" w:sz="4" w:space="0"/>
            </w:tcBorders>
            <w:vAlign w:val="center"/>
          </w:tcPr>
          <w:p>
            <w:pPr>
              <w:spacing w:line="400" w:lineRule="exact"/>
              <w:jc w:val="center"/>
              <w:rPr>
                <w:rFonts w:ascii="宋体" w:hAnsi="宋体"/>
                <w:kern w:val="0"/>
              </w:rPr>
            </w:pPr>
          </w:p>
        </w:tc>
        <w:tc>
          <w:tcPr>
            <w:tcW w:w="2267" w:type="dxa"/>
            <w:tcBorders>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投标总报价</w:t>
            </w:r>
          </w:p>
        </w:tc>
        <w:tc>
          <w:tcPr>
            <w:tcW w:w="4615" w:type="dxa"/>
            <w:tcBorders>
              <w:left w:val="single" w:color="auto" w:sz="4" w:space="0"/>
            </w:tcBorders>
            <w:vAlign w:val="center"/>
          </w:tcPr>
          <w:p>
            <w:pPr>
              <w:snapToGrid w:val="0"/>
              <w:spacing w:after="31" w:afterLines="10" w:line="400" w:lineRule="exact"/>
              <w:ind w:firstLine="420" w:firstLineChars="200"/>
              <w:rPr>
                <w:rFonts w:ascii="宋体" w:hAnsi="宋体" w:cs="宋体"/>
                <w:kern w:val="0"/>
              </w:rPr>
            </w:pPr>
            <w:r>
              <w:rPr>
                <w:rFonts w:hint="eastAsia" w:ascii="宋体" w:hAnsi="宋体" w:cs="宋体"/>
                <w:kern w:val="0"/>
              </w:rPr>
              <w:t>1.投标总报价必须与已标价工程量清单总报价一致,且工程量清单总报价与依据单价、工程数量、分部分项工程合价计算出的结果应一致。</w:t>
            </w:r>
          </w:p>
          <w:p>
            <w:pPr>
              <w:snapToGrid w:val="0"/>
              <w:spacing w:after="31" w:afterLines="10" w:line="400" w:lineRule="exact"/>
              <w:ind w:firstLine="420" w:firstLineChars="200"/>
              <w:rPr>
                <w:rFonts w:ascii="宋体" w:hAnsi="宋体" w:cs="宋体"/>
                <w:kern w:val="0"/>
              </w:rPr>
            </w:pPr>
            <w:r>
              <w:rPr>
                <w:rFonts w:hint="eastAsia" w:ascii="宋体" w:hAnsi="宋体" w:cs="宋体"/>
                <w:kern w:val="0"/>
              </w:rPr>
              <w:t>2.投标总报价不得高于采购人公布的投标总报价最高限价。</w:t>
            </w:r>
          </w:p>
          <w:p>
            <w:pPr>
              <w:snapToGrid w:val="0"/>
              <w:spacing w:after="31" w:afterLines="10" w:line="400" w:lineRule="exact"/>
              <w:ind w:firstLine="420" w:firstLineChars="200"/>
              <w:rPr>
                <w:rFonts w:ascii="宋体" w:hAnsi="宋体" w:cs="宋体"/>
                <w:kern w:val="0"/>
              </w:rPr>
            </w:pPr>
            <w:r>
              <w:rPr>
                <w:rFonts w:hint="eastAsia" w:ascii="宋体" w:hAnsi="宋体" w:cs="宋体"/>
                <w:kern w:val="0"/>
              </w:rPr>
              <w:t>3.投标总报价低于最高限价85%的，投标人应在编制投标文件时，在投标函部分中递交低价风险担保缴纳承诺书。承诺书格式详见第八章投标文件格式。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kern w:val="0"/>
              </w:rPr>
            </w:pPr>
          </w:p>
        </w:tc>
        <w:tc>
          <w:tcPr>
            <w:tcW w:w="1560" w:type="dxa"/>
            <w:vMerge w:val="continue"/>
            <w:tcBorders>
              <w:left w:val="single" w:color="auto" w:sz="4" w:space="0"/>
            </w:tcBorders>
            <w:vAlign w:val="center"/>
          </w:tcPr>
          <w:p>
            <w:pPr>
              <w:spacing w:line="400" w:lineRule="exact"/>
              <w:jc w:val="center"/>
              <w:rPr>
                <w:rFonts w:ascii="宋体" w:hAnsi="宋体"/>
                <w:kern w:val="0"/>
              </w:rPr>
            </w:pPr>
          </w:p>
        </w:tc>
        <w:tc>
          <w:tcPr>
            <w:tcW w:w="2267" w:type="dxa"/>
            <w:tcBorders>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暂定金额</w:t>
            </w:r>
          </w:p>
        </w:tc>
        <w:tc>
          <w:tcPr>
            <w:tcW w:w="4615" w:type="dxa"/>
            <w:tcBorders>
              <w:left w:val="single" w:color="auto" w:sz="4" w:space="0"/>
            </w:tcBorders>
            <w:vAlign w:val="center"/>
          </w:tcPr>
          <w:p>
            <w:pPr>
              <w:snapToGrid w:val="0"/>
              <w:spacing w:after="31" w:afterLines="10" w:line="400" w:lineRule="exact"/>
              <w:ind w:firstLine="420" w:firstLineChars="200"/>
              <w:rPr>
                <w:rFonts w:ascii="宋体" w:hAnsi="宋体" w:cs="宋体"/>
                <w:kern w:val="0"/>
              </w:rPr>
            </w:pPr>
            <w:r>
              <w:rPr>
                <w:rFonts w:hint="eastAsia" w:ascii="宋体" w:hAnsi="宋体" w:cs="宋体"/>
                <w:kern w:val="0"/>
              </w:rPr>
              <w:t>暂列金额、暂估价、安全文明施工费等暂定金额必须按照采购文件给定的金额填报。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kern w:val="0"/>
              </w:rPr>
            </w:pPr>
          </w:p>
        </w:tc>
        <w:tc>
          <w:tcPr>
            <w:tcW w:w="1560" w:type="dxa"/>
            <w:vMerge w:val="continue"/>
            <w:tcBorders>
              <w:left w:val="single" w:color="auto" w:sz="4" w:space="0"/>
            </w:tcBorders>
            <w:vAlign w:val="center"/>
          </w:tcPr>
          <w:p>
            <w:pPr>
              <w:spacing w:line="400" w:lineRule="exact"/>
              <w:jc w:val="center"/>
              <w:rPr>
                <w:rFonts w:ascii="宋体" w:hAnsi="宋体"/>
                <w:kern w:val="0"/>
              </w:rPr>
            </w:pPr>
          </w:p>
        </w:tc>
        <w:tc>
          <w:tcPr>
            <w:tcW w:w="2267" w:type="dxa"/>
            <w:tcBorders>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报价唯一</w:t>
            </w:r>
          </w:p>
        </w:tc>
        <w:tc>
          <w:tcPr>
            <w:tcW w:w="4615" w:type="dxa"/>
            <w:tcBorders>
              <w:left w:val="single" w:color="auto" w:sz="4" w:space="0"/>
            </w:tcBorders>
            <w:vAlign w:val="center"/>
          </w:tcPr>
          <w:p>
            <w:pPr>
              <w:snapToGrid w:val="0"/>
              <w:spacing w:after="31" w:afterLines="10" w:line="400" w:lineRule="exact"/>
              <w:ind w:firstLine="420" w:firstLineChars="200"/>
              <w:rPr>
                <w:rFonts w:ascii="宋体" w:hAnsi="宋体" w:cs="宋体"/>
                <w:kern w:val="0"/>
              </w:rPr>
            </w:pPr>
            <w:r>
              <w:rPr>
                <w:rFonts w:hint="eastAsia" w:ascii="宋体" w:hAnsi="宋体" w:cs="宋体"/>
                <w:kern w:val="0"/>
              </w:rPr>
              <w:t>只能有一个有效报价。在采购文件没有规定的情况下，不得提交选择性报价。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kern w:val="0"/>
              </w:rPr>
            </w:pPr>
          </w:p>
        </w:tc>
        <w:tc>
          <w:tcPr>
            <w:tcW w:w="1560" w:type="dxa"/>
            <w:vMerge w:val="continue"/>
            <w:tcBorders>
              <w:left w:val="single" w:color="auto" w:sz="4" w:space="0"/>
            </w:tcBorders>
            <w:vAlign w:val="center"/>
          </w:tcPr>
          <w:p>
            <w:pPr>
              <w:spacing w:line="400" w:lineRule="exact"/>
              <w:jc w:val="center"/>
              <w:rPr>
                <w:rFonts w:ascii="宋体" w:hAnsi="宋体"/>
                <w:kern w:val="0"/>
              </w:rPr>
            </w:pPr>
          </w:p>
        </w:tc>
        <w:tc>
          <w:tcPr>
            <w:tcW w:w="2267" w:type="dxa"/>
            <w:tcBorders>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已标价工程量清单</w:t>
            </w:r>
          </w:p>
        </w:tc>
        <w:tc>
          <w:tcPr>
            <w:tcW w:w="4615" w:type="dxa"/>
            <w:tcBorders>
              <w:left w:val="single" w:color="auto" w:sz="4" w:space="0"/>
            </w:tcBorders>
            <w:vAlign w:val="center"/>
          </w:tcPr>
          <w:p>
            <w:pPr>
              <w:spacing w:after="62" w:afterLines="20" w:line="400" w:lineRule="exact"/>
              <w:ind w:firstLine="420" w:firstLineChars="200"/>
              <w:rPr>
                <w:rFonts w:ascii="宋体" w:hAnsi="宋体" w:cs="宋体"/>
                <w:kern w:val="0"/>
              </w:rPr>
            </w:pPr>
            <w:r>
              <w:rPr>
                <w:rFonts w:hint="eastAsia" w:ascii="宋体" w:hAnsi="宋体" w:cs="宋体"/>
                <w:kern w:val="0"/>
              </w:rPr>
              <w:t>1.符合第五章“工程量清单”给出的范围及数量。</w:t>
            </w:r>
          </w:p>
          <w:p>
            <w:pPr>
              <w:snapToGrid w:val="0"/>
              <w:spacing w:after="31" w:afterLines="10" w:line="400" w:lineRule="exact"/>
              <w:ind w:firstLine="420" w:firstLineChars="200"/>
              <w:rPr>
                <w:rFonts w:ascii="宋体" w:hAnsi="宋体" w:cs="宋体"/>
                <w:kern w:val="0"/>
              </w:rPr>
            </w:pPr>
            <w:r>
              <w:rPr>
                <w:rFonts w:hint="eastAsia" w:ascii="宋体" w:hAnsi="宋体" w:cs="宋体"/>
                <w:kern w:val="0"/>
              </w:rPr>
              <w:t>2.采购文件中规定工程量清单不允许修改的内容不得修改。</w:t>
            </w:r>
          </w:p>
          <w:p>
            <w:pPr>
              <w:snapToGrid w:val="0"/>
              <w:spacing w:after="31" w:afterLines="10" w:line="400" w:lineRule="exact"/>
              <w:ind w:firstLine="420" w:firstLineChars="200"/>
              <w:rPr>
                <w:rFonts w:ascii="宋体" w:hAnsi="宋体" w:cs="宋体"/>
                <w:kern w:val="0"/>
              </w:rPr>
            </w:pPr>
            <w:r>
              <w:rPr>
                <w:rFonts w:hint="eastAsia" w:ascii="宋体" w:hAnsi="宋体" w:cs="宋体"/>
                <w:kern w:val="0"/>
              </w:rPr>
              <w:t>3.每项清单综合单价报价不得高于每项清单综合单价最高限价。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3" w:type="dxa"/>
            <w:vMerge w:val="continue"/>
            <w:tcBorders>
              <w:right w:val="single" w:color="auto" w:sz="4" w:space="0"/>
            </w:tcBorders>
            <w:vAlign w:val="center"/>
          </w:tcPr>
          <w:p>
            <w:pPr>
              <w:spacing w:line="400" w:lineRule="exact"/>
              <w:jc w:val="center"/>
              <w:rPr>
                <w:rFonts w:ascii="宋体" w:hAnsi="宋体"/>
                <w:kern w:val="0"/>
              </w:rPr>
            </w:pPr>
          </w:p>
        </w:tc>
        <w:tc>
          <w:tcPr>
            <w:tcW w:w="1560" w:type="dxa"/>
            <w:vMerge w:val="continue"/>
            <w:tcBorders>
              <w:left w:val="single" w:color="auto" w:sz="4" w:space="0"/>
            </w:tcBorders>
            <w:vAlign w:val="center"/>
          </w:tcPr>
          <w:p>
            <w:pPr>
              <w:spacing w:line="400" w:lineRule="exact"/>
              <w:jc w:val="center"/>
              <w:rPr>
                <w:rFonts w:ascii="宋体" w:hAnsi="宋体"/>
                <w:kern w:val="0"/>
              </w:rPr>
            </w:pPr>
          </w:p>
        </w:tc>
        <w:tc>
          <w:tcPr>
            <w:tcW w:w="2267" w:type="dxa"/>
            <w:tcBorders>
              <w:right w:val="single" w:color="auto" w:sz="4" w:space="0"/>
            </w:tcBorders>
            <w:vAlign w:val="center"/>
          </w:tcPr>
          <w:p>
            <w:pPr>
              <w:snapToGrid w:val="0"/>
              <w:spacing w:line="400" w:lineRule="exact"/>
              <w:jc w:val="left"/>
              <w:rPr>
                <w:rFonts w:ascii="宋体" w:hAnsi="宋体" w:cs="宋体"/>
                <w:kern w:val="0"/>
              </w:rPr>
            </w:pPr>
            <w:r>
              <w:rPr>
                <w:rFonts w:hint="eastAsia" w:ascii="宋体" w:hAnsi="宋体" w:cs="宋体"/>
                <w:kern w:val="0"/>
              </w:rPr>
              <w:t>投标报价算术错误修正</w:t>
            </w:r>
          </w:p>
        </w:tc>
        <w:tc>
          <w:tcPr>
            <w:tcW w:w="4615" w:type="dxa"/>
            <w:tcBorders>
              <w:left w:val="single" w:color="auto" w:sz="4" w:space="0"/>
            </w:tcBorders>
            <w:vAlign w:val="center"/>
          </w:tcPr>
          <w:p>
            <w:pPr>
              <w:snapToGrid w:val="0"/>
              <w:spacing w:after="31" w:afterLines="10" w:line="400" w:lineRule="exact"/>
              <w:ind w:firstLine="420" w:firstLineChars="200"/>
              <w:rPr>
                <w:rFonts w:ascii="宋体" w:hAnsi="宋体" w:cs="宋体"/>
                <w:kern w:val="0"/>
              </w:rPr>
            </w:pPr>
            <w:r>
              <w:rPr>
                <w:rFonts w:hint="eastAsia" w:ascii="宋体" w:hAnsi="宋体" w:cs="宋体"/>
                <w:kern w:val="0"/>
              </w:rPr>
              <w:t>符合第三章“评标办法”第3.2.3项规定。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1243" w:type="dxa"/>
            <w:tcBorders>
              <w:right w:val="single" w:color="auto" w:sz="4" w:space="0"/>
            </w:tcBorders>
            <w:vAlign w:val="center"/>
          </w:tcPr>
          <w:p>
            <w:pPr>
              <w:spacing w:line="400" w:lineRule="exact"/>
              <w:jc w:val="center"/>
              <w:rPr>
                <w:rFonts w:ascii="宋体" w:hAnsi="宋体"/>
              </w:rPr>
            </w:pPr>
            <w:r>
              <w:rPr>
                <w:rFonts w:ascii="宋体" w:hAnsi="宋体"/>
              </w:rPr>
              <w:t>3</w:t>
            </w:r>
          </w:p>
        </w:tc>
        <w:tc>
          <w:tcPr>
            <w:tcW w:w="1560" w:type="dxa"/>
            <w:tcBorders>
              <w:left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评标程序</w:t>
            </w:r>
          </w:p>
        </w:tc>
        <w:tc>
          <w:tcPr>
            <w:tcW w:w="6882" w:type="dxa"/>
            <w:gridSpan w:val="2"/>
            <w:tcBorders>
              <w:left w:val="single" w:color="auto" w:sz="4" w:space="0"/>
            </w:tcBorders>
            <w:vAlign w:val="center"/>
          </w:tcPr>
          <w:p>
            <w:pPr>
              <w:spacing w:after="31" w:afterLines="10" w:line="400" w:lineRule="exact"/>
              <w:ind w:firstLine="420" w:firstLineChars="200"/>
              <w:jc w:val="left"/>
              <w:rPr>
                <w:rFonts w:ascii="宋体" w:hAnsi="宋体"/>
                <w:kern w:val="0"/>
                <w:szCs w:val="21"/>
              </w:rPr>
            </w:pPr>
            <w:r>
              <w:rPr>
                <w:rFonts w:hint="eastAsia" w:ascii="宋体" w:hAnsi="宋体"/>
                <w:kern w:val="0"/>
                <w:szCs w:val="21"/>
              </w:rPr>
              <w:t>1.对报价不高于最高限价的所有投标人的投标文件，按照报价由低到高的顺序排序。需技术方案评审的，由电子评标系统对技术方案进行自动随机编号。在投标函部分及经济部分评审前，推送给评标委员会的投标文件不得显示排序。</w:t>
            </w:r>
          </w:p>
          <w:p>
            <w:pPr>
              <w:spacing w:after="31" w:afterLines="10" w:line="400" w:lineRule="exact"/>
              <w:ind w:firstLine="420" w:firstLineChars="200"/>
              <w:jc w:val="left"/>
              <w:rPr>
                <w:rFonts w:ascii="宋体" w:hAnsi="宋体"/>
                <w:kern w:val="0"/>
                <w:szCs w:val="21"/>
              </w:rPr>
            </w:pPr>
            <w:r>
              <w:rPr>
                <w:rFonts w:hint="eastAsia" w:ascii="宋体" w:hAnsi="宋体"/>
                <w:kern w:val="0"/>
                <w:szCs w:val="21"/>
              </w:rPr>
              <w:t>2.根据本章第2.2款约定进行符合性审查</w:t>
            </w:r>
            <w:r>
              <w:rPr>
                <w:rFonts w:hint="eastAsia" w:ascii="宋体" w:hAnsi="宋体"/>
                <w:spacing w:val="4"/>
                <w:kern w:val="0"/>
                <w:szCs w:val="21"/>
              </w:rPr>
              <w:t>。符合性审查</w:t>
            </w:r>
            <w:r>
              <w:rPr>
                <w:rFonts w:hint="eastAsia" w:ascii="宋体" w:hAnsi="宋体"/>
                <w:kern w:val="0"/>
                <w:szCs w:val="21"/>
              </w:rPr>
              <w:t>合格的投标人中，报价最低的成为第一中标候选人，报价次低的成为第二中标候选人，依次类推。</w:t>
            </w:r>
          </w:p>
          <w:p>
            <w:pPr>
              <w:spacing w:after="31" w:afterLines="10" w:line="400" w:lineRule="exact"/>
              <w:ind w:firstLine="420" w:firstLineChars="200"/>
              <w:jc w:val="left"/>
              <w:rPr>
                <w:rFonts w:ascii="宋体" w:hAnsi="宋体"/>
                <w:kern w:val="0"/>
                <w:szCs w:val="21"/>
              </w:rPr>
            </w:pPr>
            <w:r>
              <w:rPr>
                <w:rFonts w:hint="eastAsia" w:ascii="宋体" w:hAnsi="宋体"/>
                <w:kern w:val="0"/>
                <w:szCs w:val="21"/>
              </w:rPr>
              <w:t>3.</w:t>
            </w:r>
            <w:r>
              <w:rPr>
                <w:rFonts w:hint="eastAsia" w:ascii="宋体" w:hAnsi="宋体"/>
                <w:spacing w:val="4"/>
                <w:kern w:val="0"/>
                <w:szCs w:val="21"/>
              </w:rPr>
              <w:t>若上述程序未能评出三名中标候选人</w:t>
            </w:r>
            <w:r>
              <w:rPr>
                <w:rFonts w:hint="eastAsia" w:ascii="宋体" w:hAnsi="宋体"/>
                <w:kern w:val="0"/>
                <w:szCs w:val="21"/>
              </w:rPr>
              <w:t>，则评标委员会对剩余投标文件继续按上述第2条进行评审，直至评出三名中标候选人，或者评审完所有投标文件。</w:t>
            </w:r>
          </w:p>
          <w:p>
            <w:pPr>
              <w:spacing w:after="31" w:afterLines="10" w:line="400" w:lineRule="exact"/>
              <w:ind w:firstLine="420" w:firstLineChars="200"/>
              <w:jc w:val="left"/>
              <w:rPr>
                <w:rFonts w:ascii="宋体" w:hAnsi="宋体"/>
                <w:kern w:val="0"/>
                <w:szCs w:val="21"/>
              </w:rPr>
            </w:pPr>
            <w:r>
              <w:rPr>
                <w:rFonts w:hint="eastAsia" w:ascii="宋体" w:hAnsi="宋体"/>
                <w:kern w:val="0"/>
                <w:szCs w:val="21"/>
              </w:rPr>
              <w:t>4.</w:t>
            </w:r>
            <w:r>
              <w:rPr>
                <w:rFonts w:hint="eastAsia"/>
              </w:rPr>
              <w:t xml:space="preserve"> </w:t>
            </w:r>
            <w:r>
              <w:rPr>
                <w:rFonts w:hint="eastAsia" w:ascii="宋体" w:hAnsi="宋体"/>
                <w:kern w:val="0"/>
                <w:szCs w:val="21"/>
              </w:rPr>
              <w:t>因评标委员会作否决投标处理，导致有效投标人不足三个的，评标委员会应当否决所有投标。但是有效投标人的经济、技术等指标仍然具有市场竞争力，并满足采购文件要求的，评标委员会可以继续评标并确定中标候选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1243" w:type="dxa"/>
            <w:tcBorders>
              <w:right w:val="single" w:color="auto" w:sz="4" w:space="0"/>
            </w:tcBorders>
            <w:vAlign w:val="center"/>
          </w:tcPr>
          <w:p>
            <w:pPr>
              <w:spacing w:line="400" w:lineRule="exact"/>
              <w:jc w:val="center"/>
              <w:rPr>
                <w:rFonts w:ascii="宋体" w:hAnsi="宋体"/>
              </w:rPr>
            </w:pPr>
            <w:r>
              <w:rPr>
                <w:rFonts w:hint="eastAsia" w:ascii="宋体" w:hAnsi="宋体"/>
              </w:rPr>
              <w:t>3.4</w:t>
            </w:r>
          </w:p>
        </w:tc>
        <w:tc>
          <w:tcPr>
            <w:tcW w:w="1560" w:type="dxa"/>
            <w:tcBorders>
              <w:left w:val="single" w:color="auto" w:sz="4" w:space="0"/>
              <w:right w:val="single" w:color="auto" w:sz="4" w:space="0"/>
            </w:tcBorders>
            <w:vAlign w:val="center"/>
          </w:tcPr>
          <w:p>
            <w:pPr>
              <w:spacing w:line="400" w:lineRule="exact"/>
              <w:jc w:val="center"/>
              <w:rPr>
                <w:rFonts w:ascii="宋体" w:hAnsi="宋体"/>
              </w:rPr>
            </w:pPr>
            <w:r>
              <w:rPr>
                <w:rFonts w:ascii="宋体" w:hAnsi="宋体"/>
              </w:rPr>
              <w:t>评标结果</w:t>
            </w:r>
          </w:p>
        </w:tc>
        <w:tc>
          <w:tcPr>
            <w:tcW w:w="6882" w:type="dxa"/>
            <w:gridSpan w:val="2"/>
            <w:tcBorders>
              <w:left w:val="single" w:color="auto" w:sz="4" w:space="0"/>
            </w:tcBorders>
            <w:vAlign w:val="center"/>
          </w:tcPr>
          <w:p>
            <w:pPr>
              <w:autoSpaceDE w:val="0"/>
              <w:autoSpaceDN w:val="0"/>
              <w:adjustRightInd w:val="0"/>
              <w:snapToGrid w:val="0"/>
              <w:spacing w:line="400" w:lineRule="exact"/>
              <w:ind w:firstLine="420"/>
              <w:jc w:val="left"/>
              <w:rPr>
                <w:rFonts w:ascii="宋体" w:hAnsi="宋体"/>
                <w:kern w:val="0"/>
                <w:szCs w:val="21"/>
              </w:rPr>
            </w:pPr>
            <w:r>
              <w:rPr>
                <w:rFonts w:ascii="宋体" w:hAnsi="宋体"/>
                <w:kern w:val="0"/>
                <w:szCs w:val="21"/>
              </w:rPr>
              <w:t>除第二章“投标</w:t>
            </w:r>
            <w:r>
              <w:rPr>
                <w:rFonts w:ascii="宋体" w:hAnsi="宋体"/>
                <w:spacing w:val="1"/>
                <w:kern w:val="0"/>
                <w:szCs w:val="21"/>
              </w:rPr>
              <w:t>人</w:t>
            </w:r>
            <w:r>
              <w:rPr>
                <w:rFonts w:ascii="宋体" w:hAnsi="宋体"/>
                <w:kern w:val="0"/>
                <w:szCs w:val="21"/>
              </w:rPr>
              <w:t>须知”前</w:t>
            </w:r>
            <w:r>
              <w:rPr>
                <w:rFonts w:ascii="宋体" w:hAnsi="宋体"/>
                <w:spacing w:val="1"/>
                <w:kern w:val="0"/>
                <w:szCs w:val="21"/>
              </w:rPr>
              <w:t>附</w:t>
            </w:r>
            <w:r>
              <w:rPr>
                <w:rFonts w:ascii="宋体" w:hAnsi="宋体"/>
                <w:kern w:val="0"/>
                <w:szCs w:val="21"/>
              </w:rPr>
              <w:t>表授权直</w:t>
            </w:r>
            <w:r>
              <w:rPr>
                <w:rFonts w:ascii="宋体" w:hAnsi="宋体"/>
                <w:spacing w:val="1"/>
                <w:kern w:val="0"/>
                <w:szCs w:val="21"/>
              </w:rPr>
              <w:t>接</w:t>
            </w:r>
            <w:r>
              <w:rPr>
                <w:rFonts w:ascii="宋体" w:hAnsi="宋体"/>
                <w:kern w:val="0"/>
                <w:szCs w:val="21"/>
              </w:rPr>
              <w:t>确定中标</w:t>
            </w:r>
            <w:r>
              <w:rPr>
                <w:rFonts w:ascii="宋体" w:hAnsi="宋体"/>
                <w:spacing w:val="1"/>
                <w:kern w:val="0"/>
                <w:szCs w:val="21"/>
              </w:rPr>
              <w:t>人</w:t>
            </w:r>
            <w:r>
              <w:rPr>
                <w:rFonts w:ascii="宋体" w:hAnsi="宋体"/>
                <w:kern w:val="0"/>
                <w:szCs w:val="21"/>
              </w:rPr>
              <w:t>外，评标</w:t>
            </w:r>
            <w:r>
              <w:rPr>
                <w:rFonts w:ascii="宋体" w:hAnsi="宋体"/>
                <w:spacing w:val="1"/>
                <w:kern w:val="0"/>
                <w:szCs w:val="21"/>
              </w:rPr>
              <w:t>委</w:t>
            </w:r>
            <w:r>
              <w:rPr>
                <w:rFonts w:ascii="宋体" w:hAnsi="宋体"/>
                <w:kern w:val="0"/>
                <w:szCs w:val="21"/>
              </w:rPr>
              <w:t>员会</w:t>
            </w:r>
            <w:r>
              <w:rPr>
                <w:rFonts w:hint="eastAsia" w:ascii="宋体" w:hAnsi="宋体"/>
                <w:kern w:val="0"/>
                <w:szCs w:val="21"/>
              </w:rPr>
              <w:t>按经评审的最低投标价法</w:t>
            </w:r>
            <w:r>
              <w:rPr>
                <w:rFonts w:ascii="宋体" w:hAnsi="宋体"/>
                <w:kern w:val="0"/>
                <w:szCs w:val="21"/>
              </w:rPr>
              <w:t>推荐中标候选人。</w:t>
            </w:r>
          </w:p>
        </w:tc>
      </w:tr>
    </w:tbl>
    <w:p>
      <w:pPr>
        <w:pStyle w:val="4"/>
        <w:spacing w:before="0" w:after="0" w:line="360" w:lineRule="auto"/>
        <w:rPr>
          <w:rFonts w:ascii="宋体" w:hAnsi="宋体"/>
          <w:bCs w:val="0"/>
          <w:snapToGrid w:val="0"/>
        </w:rPr>
      </w:pPr>
      <w:r>
        <w:rPr>
          <w:rFonts w:ascii="宋体" w:hAnsi="宋体"/>
          <w:bCs w:val="0"/>
          <w:snapToGrid w:val="0"/>
        </w:rPr>
        <w:br w:type="page"/>
      </w:r>
      <w:bookmarkStart w:id="28" w:name="_Toc25122"/>
      <w:r>
        <w:rPr>
          <w:rFonts w:ascii="宋体" w:hAnsi="宋体"/>
          <w:b w:val="0"/>
          <w:snapToGrid w:val="0"/>
        </w:rPr>
        <w:t>1.  评标方法</w:t>
      </w:r>
      <w:bookmarkEnd w:id="28"/>
    </w:p>
    <w:p>
      <w:pPr>
        <w:spacing w:line="360" w:lineRule="auto"/>
        <w:ind w:firstLine="420" w:firstLineChars="200"/>
        <w:rPr>
          <w:rFonts w:ascii="宋体" w:hAnsi="宋体"/>
        </w:rPr>
      </w:pPr>
      <w:r>
        <w:rPr>
          <w:rFonts w:hint="eastAsia" w:ascii="宋体" w:hAnsi="宋体"/>
        </w:rPr>
        <w:t>本次评标采用经评审的最低投标价法，评标委员会按照本章第2.1款进行报价排序，按照本章第2.2款进行符合性审查，符合性审查合格的投标人中按报价由低到高推荐中标候选人，或根据采购人授权直接确定中标人。</w:t>
      </w:r>
    </w:p>
    <w:p>
      <w:pPr>
        <w:pStyle w:val="4"/>
        <w:spacing w:before="0" w:after="0" w:line="360" w:lineRule="auto"/>
        <w:rPr>
          <w:rFonts w:ascii="宋体" w:hAnsi="宋体"/>
          <w:b w:val="0"/>
          <w:snapToGrid w:val="0"/>
        </w:rPr>
      </w:pPr>
      <w:bookmarkStart w:id="29" w:name="_Toc13149"/>
      <w:r>
        <w:rPr>
          <w:rFonts w:ascii="宋体" w:hAnsi="宋体"/>
          <w:b w:val="0"/>
          <w:snapToGrid w:val="0"/>
        </w:rPr>
        <w:t>2.  评审标准</w:t>
      </w:r>
      <w:bookmarkEnd w:id="29"/>
    </w:p>
    <w:p>
      <w:pPr>
        <w:pStyle w:val="5"/>
        <w:spacing w:before="0" w:after="0" w:line="360" w:lineRule="auto"/>
        <w:rPr>
          <w:rFonts w:ascii="宋体" w:hAnsi="宋体" w:cs="宋体"/>
          <w:sz w:val="21"/>
          <w:szCs w:val="21"/>
        </w:rPr>
      </w:pPr>
      <w:bookmarkStart w:id="30" w:name="_Toc21239"/>
      <w:r>
        <w:rPr>
          <w:rFonts w:ascii="宋体" w:hAnsi="宋体" w:cs="宋体"/>
          <w:sz w:val="21"/>
          <w:szCs w:val="21"/>
        </w:rPr>
        <w:t>2.1</w:t>
      </w:r>
      <w:r>
        <w:rPr>
          <w:rFonts w:hint="eastAsia" w:ascii="宋体" w:hAnsi="宋体" w:cs="宋体"/>
          <w:sz w:val="21"/>
          <w:szCs w:val="21"/>
        </w:rPr>
        <w:t>报价</w:t>
      </w:r>
      <w:r>
        <w:rPr>
          <w:rFonts w:ascii="宋体" w:hAnsi="宋体" w:cs="宋体"/>
          <w:sz w:val="21"/>
          <w:szCs w:val="21"/>
        </w:rPr>
        <w:t>排序</w:t>
      </w:r>
      <w:r>
        <w:rPr>
          <w:rFonts w:hint="eastAsia" w:ascii="宋体" w:hAnsi="宋体" w:cs="宋体"/>
          <w:sz w:val="21"/>
          <w:szCs w:val="21"/>
        </w:rPr>
        <w:t>标准</w:t>
      </w:r>
      <w:bookmarkEnd w:id="30"/>
    </w:p>
    <w:p>
      <w:pPr>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见评标办法前附表。</w:t>
      </w:r>
    </w:p>
    <w:p>
      <w:pPr>
        <w:pStyle w:val="5"/>
        <w:spacing w:before="0" w:after="0" w:line="360" w:lineRule="auto"/>
        <w:rPr>
          <w:rFonts w:ascii="宋体" w:hAnsi="宋体" w:cs="宋体"/>
          <w:sz w:val="21"/>
          <w:szCs w:val="21"/>
        </w:rPr>
      </w:pPr>
      <w:bookmarkStart w:id="31" w:name="_Toc30522"/>
      <w:r>
        <w:rPr>
          <w:rFonts w:ascii="宋体" w:hAnsi="宋体" w:cs="宋体"/>
          <w:sz w:val="21"/>
          <w:szCs w:val="21"/>
        </w:rPr>
        <w:t>2.</w:t>
      </w:r>
      <w:r>
        <w:rPr>
          <w:rFonts w:hint="eastAsia" w:ascii="宋体" w:hAnsi="宋体" w:cs="宋体"/>
          <w:sz w:val="21"/>
          <w:szCs w:val="21"/>
        </w:rPr>
        <w:t>2符合性审查标准</w:t>
      </w:r>
      <w:bookmarkEnd w:id="31"/>
    </w:p>
    <w:p>
      <w:pPr>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按评标办法前附表约定的投标单位报价排序数量进行符合性审查</w:t>
      </w:r>
      <w:r>
        <w:rPr>
          <w:rFonts w:hint="eastAsia" w:ascii="宋体" w:hAnsi="宋体"/>
          <w:spacing w:val="4"/>
          <w:kern w:val="0"/>
          <w:szCs w:val="21"/>
        </w:rPr>
        <w:t>。符合性审查内容：技术方案评审（如有）、资格评审、形式评审、响应性、投标函部分及经济部分评审</w:t>
      </w:r>
      <w:r>
        <w:rPr>
          <w:rFonts w:hint="eastAsia" w:ascii="宋体" w:hAnsi="宋体" w:cs="宋体"/>
          <w:szCs w:val="21"/>
        </w:rPr>
        <w:t>。</w:t>
      </w:r>
    </w:p>
    <w:p>
      <w:pPr>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2.2.1  技术方案评审标准：见评标办法前附表。</w:t>
      </w:r>
    </w:p>
    <w:p>
      <w:pPr>
        <w:autoSpaceDE w:val="0"/>
        <w:autoSpaceDN w:val="0"/>
        <w:adjustRightInd w:val="0"/>
        <w:snapToGrid w:val="0"/>
        <w:spacing w:line="360" w:lineRule="auto"/>
        <w:ind w:firstLine="420" w:firstLineChars="200"/>
        <w:jc w:val="left"/>
        <w:rPr>
          <w:rFonts w:ascii="宋体" w:hAnsi="宋体" w:cs="宋体"/>
          <w:szCs w:val="21"/>
        </w:rPr>
      </w:pPr>
      <w:r>
        <w:rPr>
          <w:rFonts w:ascii="宋体" w:hAnsi="宋体" w:cs="宋体"/>
          <w:szCs w:val="21"/>
        </w:rPr>
        <w:t>2.</w:t>
      </w:r>
      <w:r>
        <w:rPr>
          <w:rFonts w:hint="eastAsia" w:ascii="宋体" w:hAnsi="宋体" w:cs="宋体"/>
          <w:szCs w:val="21"/>
        </w:rPr>
        <w:t>2</w:t>
      </w:r>
      <w:r>
        <w:rPr>
          <w:rFonts w:ascii="宋体" w:hAnsi="宋体" w:cs="宋体"/>
          <w:szCs w:val="21"/>
        </w:rPr>
        <w:t>.</w:t>
      </w:r>
      <w:r>
        <w:rPr>
          <w:rFonts w:hint="eastAsia" w:ascii="宋体" w:hAnsi="宋体" w:cs="宋体"/>
          <w:szCs w:val="21"/>
        </w:rPr>
        <w:t>2  资格评审标准：见评标办法前附表（适用于未进行资格预审的）。</w:t>
      </w:r>
    </w:p>
    <w:p>
      <w:pPr>
        <w:autoSpaceDE w:val="0"/>
        <w:autoSpaceDN w:val="0"/>
        <w:adjustRightInd w:val="0"/>
        <w:snapToGrid w:val="0"/>
        <w:spacing w:line="360" w:lineRule="auto"/>
        <w:ind w:firstLine="420" w:firstLineChars="200"/>
        <w:jc w:val="left"/>
        <w:rPr>
          <w:rFonts w:ascii="宋体" w:hAnsi="宋体" w:cs="宋体"/>
          <w:szCs w:val="21"/>
        </w:rPr>
      </w:pPr>
      <w:r>
        <w:rPr>
          <w:rFonts w:ascii="宋体" w:hAnsi="宋体" w:cs="宋体"/>
          <w:szCs w:val="21"/>
        </w:rPr>
        <w:t>2.</w:t>
      </w:r>
      <w:r>
        <w:rPr>
          <w:rFonts w:hint="eastAsia" w:ascii="宋体" w:hAnsi="宋体" w:cs="宋体"/>
          <w:szCs w:val="21"/>
        </w:rPr>
        <w:t>2</w:t>
      </w:r>
      <w:r>
        <w:rPr>
          <w:rFonts w:ascii="宋体" w:hAnsi="宋体" w:cs="宋体"/>
          <w:szCs w:val="21"/>
        </w:rPr>
        <w:t>.</w:t>
      </w:r>
      <w:r>
        <w:rPr>
          <w:rFonts w:hint="eastAsia" w:ascii="宋体" w:hAnsi="宋体" w:cs="宋体"/>
          <w:szCs w:val="21"/>
        </w:rPr>
        <w:t>3  形式评审标准：见评标办法前附表。</w:t>
      </w:r>
    </w:p>
    <w:p>
      <w:pPr>
        <w:autoSpaceDE w:val="0"/>
        <w:autoSpaceDN w:val="0"/>
        <w:adjustRightInd w:val="0"/>
        <w:snapToGrid w:val="0"/>
        <w:spacing w:line="360" w:lineRule="auto"/>
        <w:ind w:firstLine="420" w:firstLineChars="200"/>
        <w:jc w:val="left"/>
        <w:rPr>
          <w:rFonts w:ascii="宋体" w:hAnsi="宋体" w:cs="宋体"/>
          <w:szCs w:val="21"/>
        </w:rPr>
      </w:pPr>
      <w:r>
        <w:rPr>
          <w:rFonts w:ascii="宋体" w:hAnsi="宋体" w:cs="宋体"/>
          <w:szCs w:val="21"/>
        </w:rPr>
        <w:t>2.</w:t>
      </w:r>
      <w:r>
        <w:rPr>
          <w:rFonts w:hint="eastAsia" w:ascii="宋体" w:hAnsi="宋体" w:cs="宋体"/>
          <w:szCs w:val="21"/>
        </w:rPr>
        <w:t>2</w:t>
      </w:r>
      <w:r>
        <w:rPr>
          <w:rFonts w:ascii="宋体" w:hAnsi="宋体" w:cs="宋体"/>
          <w:szCs w:val="21"/>
        </w:rPr>
        <w:t>.</w:t>
      </w:r>
      <w:r>
        <w:rPr>
          <w:rFonts w:hint="eastAsia" w:ascii="宋体" w:hAnsi="宋体" w:cs="宋体"/>
          <w:szCs w:val="21"/>
        </w:rPr>
        <w:t>4  响应性评审标准：见评标办法前附表。</w:t>
      </w:r>
    </w:p>
    <w:p>
      <w:pPr>
        <w:autoSpaceDE w:val="0"/>
        <w:autoSpaceDN w:val="0"/>
        <w:adjustRightInd w:val="0"/>
        <w:snapToGrid w:val="0"/>
        <w:spacing w:line="360" w:lineRule="auto"/>
        <w:ind w:firstLine="420" w:firstLineChars="200"/>
        <w:jc w:val="left"/>
        <w:rPr>
          <w:rFonts w:ascii="宋体" w:hAnsi="宋体" w:cs="宋体"/>
          <w:szCs w:val="21"/>
        </w:rPr>
      </w:pPr>
      <w:r>
        <w:rPr>
          <w:rFonts w:hint="eastAsia" w:ascii="宋体" w:hAnsi="宋体" w:cs="宋体"/>
          <w:szCs w:val="21"/>
        </w:rPr>
        <w:t>2.2.5  投标函部分及经济部分评审标准：见评标办法前附表。</w:t>
      </w:r>
    </w:p>
    <w:p>
      <w:pPr>
        <w:pStyle w:val="4"/>
        <w:spacing w:before="0" w:after="0" w:line="360" w:lineRule="auto"/>
        <w:rPr>
          <w:rFonts w:ascii="宋体" w:hAnsi="宋体"/>
          <w:b w:val="0"/>
          <w:snapToGrid w:val="0"/>
        </w:rPr>
      </w:pPr>
      <w:bookmarkStart w:id="32" w:name="_Toc2669"/>
      <w:r>
        <w:rPr>
          <w:rFonts w:ascii="宋体" w:hAnsi="宋体"/>
          <w:b w:val="0"/>
          <w:snapToGrid w:val="0"/>
        </w:rPr>
        <w:t>3.  评标程序</w:t>
      </w:r>
      <w:bookmarkEnd w:id="32"/>
    </w:p>
    <w:p>
      <w:pPr>
        <w:pStyle w:val="5"/>
        <w:spacing w:before="0" w:after="0" w:line="360" w:lineRule="auto"/>
        <w:rPr>
          <w:rFonts w:ascii="宋体" w:hAnsi="宋体" w:cs="宋体"/>
          <w:sz w:val="21"/>
          <w:szCs w:val="21"/>
        </w:rPr>
      </w:pPr>
      <w:bookmarkStart w:id="33" w:name="_Toc30026"/>
      <w:r>
        <w:rPr>
          <w:rFonts w:ascii="宋体" w:hAnsi="宋体" w:cs="宋体"/>
          <w:sz w:val="21"/>
          <w:szCs w:val="21"/>
        </w:rPr>
        <w:t>3.1</w:t>
      </w:r>
      <w:r>
        <w:rPr>
          <w:rFonts w:hint="eastAsia" w:ascii="宋体" w:hAnsi="宋体" w:cs="宋体"/>
          <w:sz w:val="21"/>
          <w:szCs w:val="21"/>
        </w:rPr>
        <w:t>报价排序</w:t>
      </w:r>
      <w:bookmarkEnd w:id="33"/>
    </w:p>
    <w:p>
      <w:pPr>
        <w:spacing w:line="360" w:lineRule="auto"/>
        <w:ind w:firstLine="413" w:firstLineChars="197"/>
        <w:rPr>
          <w:rFonts w:ascii="宋体" w:hAnsi="宋体" w:cs="宋体"/>
          <w:szCs w:val="21"/>
        </w:rPr>
      </w:pPr>
      <w:r>
        <w:rPr>
          <w:rFonts w:hint="eastAsia" w:ascii="宋体" w:hAnsi="宋体" w:cs="宋体"/>
          <w:szCs w:val="21"/>
        </w:rPr>
        <w:t>对报价不高于最高限价的所有投标人的投标文件，按照报价由低到高的顺序排序。需技术方案评审的，由电子评标系统对技术方案进行自动随机编号。在投标函部分及经济部分评审前，推送给评标委员会的投标文件不得显示排序。</w:t>
      </w:r>
    </w:p>
    <w:p>
      <w:pPr>
        <w:pStyle w:val="5"/>
        <w:spacing w:before="0" w:after="0" w:line="360" w:lineRule="auto"/>
        <w:rPr>
          <w:rFonts w:ascii="宋体" w:hAnsi="宋体" w:cs="宋体"/>
          <w:sz w:val="21"/>
          <w:szCs w:val="21"/>
        </w:rPr>
      </w:pPr>
      <w:bookmarkStart w:id="34" w:name="_Toc6662"/>
      <w:r>
        <w:rPr>
          <w:rFonts w:ascii="宋体" w:hAnsi="宋体" w:cs="宋体"/>
          <w:sz w:val="21"/>
          <w:szCs w:val="21"/>
        </w:rPr>
        <w:t>3.</w:t>
      </w:r>
      <w:r>
        <w:rPr>
          <w:rFonts w:hint="eastAsia" w:ascii="宋体" w:hAnsi="宋体" w:cs="宋体"/>
          <w:sz w:val="21"/>
          <w:szCs w:val="21"/>
        </w:rPr>
        <w:t>2符合性审查</w:t>
      </w:r>
      <w:bookmarkEnd w:id="34"/>
    </w:p>
    <w:p>
      <w:pPr>
        <w:spacing w:line="360" w:lineRule="auto"/>
        <w:ind w:firstLine="413" w:firstLineChars="197"/>
        <w:rPr>
          <w:rFonts w:ascii="宋体" w:hAnsi="宋体" w:cs="宋体"/>
          <w:szCs w:val="21"/>
        </w:rPr>
      </w:pPr>
      <w:r>
        <w:rPr>
          <w:rFonts w:ascii="宋体" w:hAnsi="宋体" w:cs="宋体"/>
          <w:szCs w:val="21"/>
        </w:rPr>
        <w:t>3.</w:t>
      </w:r>
      <w:r>
        <w:rPr>
          <w:rFonts w:hint="eastAsia" w:ascii="宋体" w:hAnsi="宋体" w:cs="宋体"/>
          <w:szCs w:val="21"/>
        </w:rPr>
        <w:t>2</w:t>
      </w:r>
      <w:r>
        <w:rPr>
          <w:rFonts w:ascii="宋体" w:hAnsi="宋体" w:cs="宋体"/>
          <w:szCs w:val="21"/>
        </w:rPr>
        <w:t>.1评标委员会依据本章第2.</w:t>
      </w:r>
      <w:r>
        <w:rPr>
          <w:rFonts w:hint="eastAsia" w:ascii="宋体" w:hAnsi="宋体" w:cs="宋体"/>
          <w:szCs w:val="21"/>
        </w:rPr>
        <w:t>2</w:t>
      </w:r>
      <w:r>
        <w:rPr>
          <w:rFonts w:ascii="宋体" w:hAnsi="宋体" w:cs="宋体"/>
          <w:szCs w:val="21"/>
        </w:rPr>
        <w:t xml:space="preserve"> </w:t>
      </w:r>
      <w:r>
        <w:rPr>
          <w:rFonts w:hint="eastAsia" w:ascii="宋体" w:hAnsi="宋体" w:cs="宋体"/>
          <w:szCs w:val="21"/>
        </w:rPr>
        <w:t>款规定的标准对投标文件进行符合性审查。符合性审查顺序：资格评审、形式评审、响应性、投标函部分及经济部分评审。</w:t>
      </w:r>
    </w:p>
    <w:p>
      <w:pPr>
        <w:spacing w:line="360" w:lineRule="auto"/>
        <w:ind w:firstLine="413" w:firstLineChars="197"/>
        <w:rPr>
          <w:rFonts w:ascii="宋体" w:hAnsi="宋体" w:cs="宋体"/>
          <w:szCs w:val="21"/>
        </w:rPr>
      </w:pPr>
      <w:r>
        <w:rPr>
          <w:rFonts w:hint="eastAsia" w:ascii="宋体" w:hAnsi="宋体" w:cs="宋体"/>
          <w:szCs w:val="21"/>
        </w:rPr>
        <w:t>勾选技术方案评审的，按照资格、形式、响应性、投标函部分及经济部分的顺序进行评审。有一项不符合评审标准的，作否决投标处理。</w:t>
      </w:r>
    </w:p>
    <w:p>
      <w:pPr>
        <w:spacing w:line="360" w:lineRule="auto"/>
        <w:ind w:firstLine="420" w:firstLineChars="200"/>
        <w:rPr>
          <w:rFonts w:ascii="宋体" w:hAnsi="宋体" w:cs="宋体"/>
          <w:szCs w:val="21"/>
        </w:rPr>
      </w:pPr>
      <w:r>
        <w:rPr>
          <w:rFonts w:ascii="宋体" w:hAnsi="宋体" w:cs="宋体"/>
          <w:szCs w:val="21"/>
        </w:rPr>
        <w:t>3.</w:t>
      </w:r>
      <w:r>
        <w:rPr>
          <w:rFonts w:hint="eastAsia" w:ascii="宋体" w:hAnsi="宋体" w:cs="宋体"/>
          <w:szCs w:val="21"/>
        </w:rPr>
        <w:t>2</w:t>
      </w:r>
      <w:r>
        <w:rPr>
          <w:rFonts w:ascii="宋体" w:hAnsi="宋体" w:cs="宋体"/>
          <w:szCs w:val="21"/>
        </w:rPr>
        <w:t>.2 投标人有以下情形之一的，</w:t>
      </w:r>
      <w:r>
        <w:rPr>
          <w:rFonts w:hint="eastAsia" w:ascii="宋体" w:hAnsi="宋体" w:cs="宋体"/>
          <w:szCs w:val="21"/>
        </w:rPr>
        <w:t>其投标文件将被否决：</w:t>
      </w:r>
    </w:p>
    <w:p>
      <w:pPr>
        <w:spacing w:line="360" w:lineRule="auto"/>
        <w:ind w:firstLine="405" w:firstLineChars="193"/>
        <w:rPr>
          <w:rFonts w:ascii="宋体" w:hAnsi="宋体" w:cs="宋体"/>
          <w:szCs w:val="21"/>
        </w:rPr>
      </w:pPr>
      <w:r>
        <w:rPr>
          <w:rFonts w:hint="eastAsia" w:ascii="宋体" w:hAnsi="宋体" w:cs="宋体"/>
          <w:szCs w:val="21"/>
        </w:rPr>
        <w:t>（1</w:t>
      </w:r>
      <w:r>
        <w:rPr>
          <w:rFonts w:ascii="宋体" w:hAnsi="宋体" w:cs="宋体"/>
          <w:szCs w:val="21"/>
        </w:rPr>
        <w:t xml:space="preserve">）第二章“投标人须知”第1.4.3 </w:t>
      </w:r>
      <w:r>
        <w:rPr>
          <w:rFonts w:hint="eastAsia" w:ascii="宋体" w:hAnsi="宋体" w:cs="宋体"/>
          <w:szCs w:val="21"/>
        </w:rPr>
        <w:t>项</w:t>
      </w:r>
      <w:r>
        <w:rPr>
          <w:rFonts w:ascii="宋体" w:hAnsi="宋体" w:cs="宋体"/>
          <w:szCs w:val="21"/>
        </w:rPr>
        <w:t>规定的任何一种情形的；</w:t>
      </w:r>
    </w:p>
    <w:p>
      <w:pPr>
        <w:spacing w:line="360" w:lineRule="auto"/>
        <w:ind w:firstLine="420" w:firstLineChars="200"/>
        <w:rPr>
          <w:rFonts w:ascii="宋体" w:hAnsi="宋体" w:cs="宋体"/>
          <w:szCs w:val="21"/>
        </w:rPr>
      </w:pPr>
      <w:r>
        <w:rPr>
          <w:rFonts w:hint="eastAsia" w:ascii="宋体" w:hAnsi="宋体" w:cs="宋体"/>
          <w:szCs w:val="21"/>
        </w:rPr>
        <w:t>（2</w:t>
      </w:r>
      <w:r>
        <w:rPr>
          <w:rFonts w:ascii="宋体" w:hAnsi="宋体" w:cs="宋体"/>
          <w:szCs w:val="21"/>
        </w:rPr>
        <w:t>）</w:t>
      </w:r>
      <w:r>
        <w:rPr>
          <w:rFonts w:hint="eastAsia" w:ascii="宋体" w:hAnsi="宋体" w:cs="宋体"/>
          <w:szCs w:val="21"/>
        </w:rPr>
        <w:t>本次投标有串通投标、弄虚作假等其他违反招投标相关法律、法规行为的；</w:t>
      </w:r>
    </w:p>
    <w:p>
      <w:pPr>
        <w:spacing w:line="360" w:lineRule="auto"/>
        <w:ind w:firstLine="420" w:firstLineChars="200"/>
        <w:rPr>
          <w:rFonts w:ascii="宋体" w:hAnsi="宋体" w:cs="宋体"/>
          <w:szCs w:val="21"/>
        </w:rPr>
      </w:pPr>
      <w:r>
        <w:rPr>
          <w:rFonts w:hint="eastAsia" w:ascii="宋体" w:hAnsi="宋体" w:cs="宋体"/>
          <w:szCs w:val="21"/>
        </w:rPr>
        <w:t>（3）拒绝按评标委员会要求澄清、说明或补正的。</w:t>
      </w:r>
    </w:p>
    <w:p>
      <w:pPr>
        <w:spacing w:line="360" w:lineRule="auto"/>
        <w:ind w:firstLine="420" w:firstLineChars="200"/>
        <w:rPr>
          <w:rFonts w:ascii="宋体" w:hAnsi="宋体" w:cs="宋体"/>
          <w:szCs w:val="21"/>
        </w:rPr>
      </w:pPr>
      <w:r>
        <w:rPr>
          <w:rFonts w:hint="eastAsia" w:ascii="宋体" w:hAnsi="宋体" w:cs="宋体"/>
          <w:szCs w:val="21"/>
        </w:rPr>
        <w:t>3.2.3 投标报价有算术错误的，评标委员会按以下原则对投标报价进行修正，修正的价格经投标人书面确认后具有约束力，修正原则如下：</w:t>
      </w:r>
    </w:p>
    <w:p>
      <w:pPr>
        <w:spacing w:line="360" w:lineRule="auto"/>
        <w:ind w:firstLine="420" w:firstLineChars="200"/>
        <w:rPr>
          <w:rFonts w:ascii="宋体" w:hAnsi="宋体" w:cs="宋体"/>
          <w:szCs w:val="21"/>
        </w:rPr>
      </w:pPr>
      <w:r>
        <w:rPr>
          <w:rFonts w:hint="eastAsia" w:ascii="宋体" w:hAnsi="宋体" w:cs="宋体"/>
          <w:szCs w:val="21"/>
        </w:rPr>
        <w:t>（1）投标文件中的大写金额与小写金额不一致的，以大写金额为准；</w:t>
      </w:r>
    </w:p>
    <w:p>
      <w:pPr>
        <w:spacing w:line="360" w:lineRule="auto"/>
        <w:ind w:firstLine="420" w:firstLineChars="200"/>
        <w:rPr>
          <w:rFonts w:ascii="宋体" w:hAnsi="宋体" w:cs="宋体"/>
          <w:szCs w:val="21"/>
        </w:rPr>
      </w:pPr>
      <w:r>
        <w:rPr>
          <w:rFonts w:hint="eastAsia" w:ascii="宋体" w:hAnsi="宋体" w:cs="宋体"/>
          <w:szCs w:val="21"/>
        </w:rPr>
        <w:t>（2）投标函中的总报价与已标价工程量清单总报价不一致，且工程量清单总报价与依据单价、工程数量、分部分项工程合价计算出的结果不一致的，由评标委员会作否决投标处理。</w:t>
      </w:r>
    </w:p>
    <w:p>
      <w:pPr>
        <w:pStyle w:val="5"/>
        <w:spacing w:before="0" w:after="0" w:line="360" w:lineRule="auto"/>
        <w:rPr>
          <w:rFonts w:ascii="宋体" w:hAnsi="宋体" w:cs="宋体"/>
          <w:sz w:val="21"/>
          <w:szCs w:val="21"/>
        </w:rPr>
      </w:pPr>
      <w:bookmarkStart w:id="35" w:name="_Toc479262406"/>
      <w:bookmarkStart w:id="36" w:name="_Toc26291"/>
      <w:bookmarkStart w:id="37" w:name="_Toc484465184"/>
      <w:r>
        <w:rPr>
          <w:rFonts w:ascii="宋体" w:hAnsi="宋体" w:cs="宋体"/>
          <w:sz w:val="21"/>
          <w:szCs w:val="21"/>
        </w:rPr>
        <w:t xml:space="preserve">3.2 </w:t>
      </w:r>
      <w:r>
        <w:rPr>
          <w:rFonts w:hint="eastAsia" w:ascii="宋体" w:hAnsi="宋体" w:cs="宋体"/>
          <w:sz w:val="21"/>
          <w:szCs w:val="21"/>
        </w:rPr>
        <w:t>评标结果</w:t>
      </w:r>
      <w:bookmarkEnd w:id="35"/>
      <w:bookmarkEnd w:id="36"/>
      <w:bookmarkEnd w:id="37"/>
    </w:p>
    <w:p>
      <w:pPr>
        <w:autoSpaceDE w:val="0"/>
        <w:autoSpaceDN w:val="0"/>
        <w:adjustRightInd w:val="0"/>
        <w:spacing w:line="360" w:lineRule="auto"/>
        <w:ind w:firstLine="420" w:firstLineChars="200"/>
        <w:jc w:val="left"/>
        <w:rPr>
          <w:rFonts w:ascii="宋体" w:hAnsi="宋体" w:cs="宋体"/>
          <w:kern w:val="0"/>
          <w:szCs w:val="21"/>
        </w:rPr>
      </w:pPr>
      <w:r>
        <w:rPr>
          <w:rFonts w:ascii="宋体" w:hAnsi="宋体" w:cs="宋体"/>
          <w:szCs w:val="21"/>
        </w:rPr>
        <w:t>3.</w:t>
      </w:r>
      <w:r>
        <w:rPr>
          <w:rFonts w:hint="eastAsia" w:ascii="宋体" w:hAnsi="宋体" w:cs="宋体"/>
          <w:szCs w:val="21"/>
        </w:rPr>
        <w:t>4</w:t>
      </w:r>
      <w:r>
        <w:rPr>
          <w:rFonts w:ascii="宋体" w:hAnsi="宋体" w:cs="宋体"/>
          <w:szCs w:val="21"/>
        </w:rPr>
        <w:t>.1</w:t>
      </w:r>
      <w:r>
        <w:rPr>
          <w:rFonts w:hint="eastAsia" w:ascii="宋体" w:hAnsi="宋体" w:cs="宋体"/>
          <w:szCs w:val="21"/>
        </w:rPr>
        <w:t xml:space="preserve"> 除第二章“投标人须知”前附表授权直接确定中标人外，评标委员会按经评审的最低投标价法推荐中标候选人。</w:t>
      </w:r>
    </w:p>
    <w:p>
      <w:pPr>
        <w:pStyle w:val="33"/>
        <w:spacing w:line="360" w:lineRule="auto"/>
        <w:rPr>
          <w:rFonts w:ascii="宋体" w:hAnsi="宋体"/>
          <w:b/>
          <w:sz w:val="28"/>
          <w:szCs w:val="28"/>
          <w:u w:val="none"/>
          <w:lang w:eastAsia="zh-CN"/>
        </w:rPr>
      </w:pPr>
      <w:r>
        <w:rPr>
          <w:rFonts w:ascii="宋体" w:hAnsi="宋体" w:cs="宋体"/>
          <w:szCs w:val="21"/>
          <w:lang w:eastAsia="zh-CN"/>
        </w:rPr>
        <w:br w:type="page"/>
      </w:r>
      <w:r>
        <w:rPr>
          <w:rFonts w:ascii="宋体" w:hAnsi="宋体"/>
          <w:b/>
          <w:sz w:val="28"/>
          <w:szCs w:val="28"/>
          <w:u w:val="none"/>
          <w:lang w:eastAsia="zh-CN"/>
        </w:rPr>
        <w:t>附件A：</w:t>
      </w:r>
      <w:r>
        <w:rPr>
          <w:rFonts w:hint="eastAsia" w:ascii="宋体" w:hAnsi="宋体"/>
          <w:b/>
          <w:sz w:val="28"/>
          <w:szCs w:val="28"/>
          <w:u w:val="none"/>
          <w:lang w:eastAsia="zh-CN"/>
        </w:rPr>
        <w:t>经评审的最低投标价法</w:t>
      </w:r>
      <w:r>
        <w:rPr>
          <w:rFonts w:ascii="宋体" w:hAnsi="宋体"/>
          <w:b/>
          <w:sz w:val="28"/>
          <w:szCs w:val="28"/>
          <w:u w:val="none"/>
          <w:lang w:eastAsia="zh-CN"/>
        </w:rPr>
        <w:t>否决投标情况一览表</w:t>
      </w:r>
    </w:p>
    <w:p>
      <w:pPr>
        <w:pStyle w:val="33"/>
        <w:spacing w:line="360" w:lineRule="auto"/>
        <w:ind w:firstLine="420" w:firstLineChars="200"/>
        <w:jc w:val="both"/>
        <w:rPr>
          <w:rFonts w:ascii="宋体" w:hAnsi="宋体"/>
          <w:sz w:val="21"/>
          <w:szCs w:val="21"/>
          <w:u w:val="none"/>
          <w:lang w:eastAsia="zh-CN"/>
        </w:rPr>
      </w:pPr>
      <w:r>
        <w:rPr>
          <w:rFonts w:hint="eastAsia" w:ascii="宋体" w:hAnsi="宋体"/>
          <w:sz w:val="21"/>
          <w:szCs w:val="21"/>
          <w:u w:val="none"/>
          <w:lang w:eastAsia="zh-CN"/>
        </w:rPr>
        <w:t>投标文件存在本一览表下列情形之一的，投标文件视为重大偏差并作否决投标处理，否则，评标委员会不得视为重大偏差而否决投标人的投标文件</w:t>
      </w:r>
      <w:r>
        <w:rPr>
          <w:rFonts w:ascii="宋体" w:hAnsi="宋体"/>
          <w:sz w:val="21"/>
          <w:szCs w:val="21"/>
          <w:u w:val="none"/>
          <w:lang w:eastAsia="zh-CN"/>
        </w:rPr>
        <w:t>。</w:t>
      </w:r>
    </w:p>
    <w:tbl>
      <w:tblPr>
        <w:tblStyle w:val="45"/>
        <w:tblW w:w="880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961"/>
        <w:gridCol w:w="1515"/>
        <w:gridCol w:w="6333"/>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Align w:val="center"/>
          </w:tcPr>
          <w:p>
            <w:pPr>
              <w:spacing w:line="400" w:lineRule="exact"/>
              <w:jc w:val="center"/>
              <w:rPr>
                <w:rFonts w:ascii="宋体" w:hAnsi="宋体"/>
                <w:b/>
                <w:szCs w:val="21"/>
              </w:rPr>
            </w:pPr>
            <w:r>
              <w:rPr>
                <w:rFonts w:ascii="宋体" w:hAnsi="宋体"/>
                <w:b/>
                <w:szCs w:val="21"/>
              </w:rPr>
              <w:t>章节号</w:t>
            </w:r>
          </w:p>
        </w:tc>
        <w:tc>
          <w:tcPr>
            <w:tcW w:w="1515" w:type="dxa"/>
            <w:vAlign w:val="center"/>
          </w:tcPr>
          <w:p>
            <w:pPr>
              <w:spacing w:line="400" w:lineRule="exact"/>
              <w:jc w:val="center"/>
              <w:rPr>
                <w:rFonts w:ascii="宋体" w:hAnsi="宋体"/>
                <w:b/>
                <w:szCs w:val="21"/>
              </w:rPr>
            </w:pPr>
            <w:r>
              <w:rPr>
                <w:rFonts w:ascii="宋体" w:hAnsi="宋体"/>
                <w:b/>
                <w:szCs w:val="21"/>
              </w:rPr>
              <w:t>条款名称</w:t>
            </w:r>
          </w:p>
        </w:tc>
        <w:tc>
          <w:tcPr>
            <w:tcW w:w="6333" w:type="dxa"/>
            <w:vAlign w:val="center"/>
          </w:tcPr>
          <w:p>
            <w:pPr>
              <w:spacing w:line="400" w:lineRule="exact"/>
              <w:jc w:val="center"/>
              <w:rPr>
                <w:rFonts w:ascii="宋体" w:hAnsi="宋体"/>
                <w:b/>
                <w:szCs w:val="21"/>
              </w:rPr>
            </w:pPr>
            <w:r>
              <w:rPr>
                <w:rFonts w:ascii="宋体" w:hAnsi="宋体"/>
                <w:b/>
                <w:szCs w:val="21"/>
              </w:rPr>
              <w:t>否决投标条件</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restart"/>
            <w:vAlign w:val="center"/>
          </w:tcPr>
          <w:p>
            <w:pPr>
              <w:spacing w:line="400" w:lineRule="exact"/>
              <w:jc w:val="center"/>
              <w:rPr>
                <w:rFonts w:ascii="宋体" w:hAnsi="宋体"/>
                <w:szCs w:val="21"/>
              </w:rPr>
            </w:pPr>
            <w:r>
              <w:rPr>
                <w:rFonts w:hint="eastAsia" w:ascii="宋体" w:hAnsi="宋体"/>
                <w:szCs w:val="21"/>
              </w:rPr>
              <w:t>第三章</w:t>
            </w:r>
          </w:p>
        </w:tc>
        <w:tc>
          <w:tcPr>
            <w:tcW w:w="1515" w:type="dxa"/>
            <w:tcBorders>
              <w:bottom w:val="single" w:color="auto" w:sz="4" w:space="0"/>
            </w:tcBorders>
            <w:vAlign w:val="center"/>
          </w:tcPr>
          <w:p>
            <w:pPr>
              <w:spacing w:line="400" w:lineRule="exact"/>
              <w:jc w:val="center"/>
              <w:rPr>
                <w:rFonts w:ascii="宋体" w:hAnsi="宋体"/>
                <w:szCs w:val="21"/>
              </w:rPr>
            </w:pPr>
            <w:r>
              <w:rPr>
                <w:rFonts w:hint="eastAsia" w:ascii="宋体" w:hAnsi="宋体"/>
                <w:szCs w:val="21"/>
              </w:rPr>
              <w:t>技术方案评审</w:t>
            </w:r>
          </w:p>
          <w:p>
            <w:pPr>
              <w:spacing w:line="400" w:lineRule="exact"/>
              <w:jc w:val="center"/>
              <w:rPr>
                <w:rFonts w:ascii="宋体" w:hAnsi="宋体"/>
                <w:szCs w:val="21"/>
              </w:rPr>
            </w:pPr>
            <w:r>
              <w:rPr>
                <w:rFonts w:hint="eastAsia" w:ascii="宋体" w:hAnsi="宋体"/>
                <w:szCs w:val="21"/>
              </w:rPr>
              <w:t>（如有）</w:t>
            </w: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A-1投标人的技术方案</w:t>
            </w:r>
            <w:r>
              <w:rPr>
                <w:rFonts w:ascii="宋体" w:hAnsi="宋体"/>
                <w:szCs w:val="21"/>
              </w:rPr>
              <w:t>有任何一项不满足评标办法前附表第2.2.1项评审标准要求的，技术方案</w:t>
            </w:r>
            <w:r>
              <w:rPr>
                <w:rFonts w:hint="eastAsia" w:ascii="宋体" w:hAnsi="宋体"/>
                <w:szCs w:val="21"/>
              </w:rPr>
              <w:t>评审不合格，由评标委员会作否决投标处理。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continue"/>
            <w:vAlign w:val="center"/>
          </w:tcPr>
          <w:p>
            <w:pPr>
              <w:spacing w:line="400" w:lineRule="exact"/>
              <w:jc w:val="center"/>
              <w:rPr>
                <w:rFonts w:ascii="宋体" w:hAnsi="宋体"/>
                <w:szCs w:val="21"/>
              </w:rPr>
            </w:pPr>
          </w:p>
        </w:tc>
        <w:tc>
          <w:tcPr>
            <w:tcW w:w="1515" w:type="dxa"/>
            <w:vMerge w:val="restart"/>
            <w:tcBorders>
              <w:top w:val="single" w:color="auto" w:sz="4" w:space="0"/>
            </w:tcBorders>
            <w:vAlign w:val="center"/>
          </w:tcPr>
          <w:p>
            <w:pPr>
              <w:spacing w:line="400" w:lineRule="exact"/>
              <w:jc w:val="center"/>
              <w:rPr>
                <w:rFonts w:ascii="宋体" w:hAnsi="宋体"/>
                <w:szCs w:val="21"/>
              </w:rPr>
            </w:pPr>
            <w:r>
              <w:rPr>
                <w:rFonts w:hint="eastAsia" w:ascii="宋体" w:hAnsi="宋体"/>
                <w:szCs w:val="21"/>
              </w:rPr>
              <w:t>资格评审</w:t>
            </w: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A-2投标人的资质条件、营业执照及安全生产条件须满足投标人须知前附表第1.4.1项第1条的要求，否则由评标委员会作否决投标处理。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continue"/>
            <w:vAlign w:val="center"/>
          </w:tcPr>
          <w:p>
            <w:pPr>
              <w:spacing w:line="400" w:lineRule="exact"/>
              <w:jc w:val="center"/>
              <w:rPr>
                <w:rFonts w:ascii="宋体" w:hAnsi="宋体"/>
                <w:szCs w:val="21"/>
              </w:rPr>
            </w:pPr>
          </w:p>
        </w:tc>
        <w:tc>
          <w:tcPr>
            <w:tcW w:w="1515"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A-3投标人的财务须满足投标人须知前附表第1.4.1项第2条的要求，否则由评标委员会作否决投标处理（如有）。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continue"/>
            <w:vAlign w:val="center"/>
          </w:tcPr>
          <w:p>
            <w:pPr>
              <w:spacing w:line="400" w:lineRule="exact"/>
              <w:jc w:val="center"/>
              <w:rPr>
                <w:rFonts w:ascii="宋体" w:hAnsi="宋体"/>
                <w:szCs w:val="21"/>
              </w:rPr>
            </w:pPr>
          </w:p>
        </w:tc>
        <w:tc>
          <w:tcPr>
            <w:tcW w:w="1515"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A-4投标人的业绩须满足投标人须知前附表第1.4.1项第3条的要求，否则由评标委员会作否决投标处理（如有）。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continue"/>
            <w:vAlign w:val="center"/>
          </w:tcPr>
          <w:p>
            <w:pPr>
              <w:spacing w:line="400" w:lineRule="exact"/>
              <w:jc w:val="center"/>
              <w:rPr>
                <w:rFonts w:ascii="宋体" w:hAnsi="宋体"/>
                <w:szCs w:val="21"/>
              </w:rPr>
            </w:pPr>
          </w:p>
        </w:tc>
        <w:tc>
          <w:tcPr>
            <w:tcW w:w="1515"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A-5投标人的投标截止日投标资格情况须满足投标人须知前附表第1.4.1项第4条的要求，否则由评标委员会作否决投标处理。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continue"/>
            <w:vAlign w:val="center"/>
          </w:tcPr>
          <w:p>
            <w:pPr>
              <w:spacing w:line="400" w:lineRule="exact"/>
              <w:jc w:val="center"/>
              <w:rPr>
                <w:rFonts w:ascii="宋体" w:hAnsi="宋体"/>
                <w:szCs w:val="21"/>
              </w:rPr>
            </w:pPr>
          </w:p>
        </w:tc>
        <w:tc>
          <w:tcPr>
            <w:tcW w:w="1515"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A-6投标人的项目经理资格须满足投标人须知前附表第1.4.1项第5条的要求，否则由评标委员会作否决投标处理。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continue"/>
            <w:vAlign w:val="center"/>
          </w:tcPr>
          <w:p>
            <w:pPr>
              <w:spacing w:line="400" w:lineRule="exact"/>
              <w:jc w:val="center"/>
              <w:rPr>
                <w:rFonts w:ascii="宋体" w:hAnsi="宋体"/>
                <w:szCs w:val="21"/>
              </w:rPr>
            </w:pPr>
          </w:p>
        </w:tc>
        <w:tc>
          <w:tcPr>
            <w:tcW w:w="1515"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A-7投标人的其他要求须满足投标人须知前附表第1.4.1项第6条的要求，否则由评标委员会作否决投标处理。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961" w:type="dxa"/>
            <w:vMerge w:val="continue"/>
            <w:vAlign w:val="center"/>
          </w:tcPr>
          <w:p>
            <w:pPr>
              <w:spacing w:line="400" w:lineRule="exact"/>
              <w:jc w:val="center"/>
              <w:rPr>
                <w:rFonts w:ascii="宋体" w:hAnsi="宋体"/>
                <w:szCs w:val="21"/>
              </w:rPr>
            </w:pPr>
          </w:p>
        </w:tc>
        <w:tc>
          <w:tcPr>
            <w:tcW w:w="1515"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A-8若有联合体投标人，则：</w:t>
            </w:r>
          </w:p>
          <w:p>
            <w:pPr>
              <w:spacing w:line="400" w:lineRule="exact"/>
              <w:ind w:firstLine="420" w:firstLineChars="200"/>
              <w:rPr>
                <w:rFonts w:ascii="宋体" w:hAnsi="宋体"/>
                <w:szCs w:val="21"/>
              </w:rPr>
            </w:pPr>
            <w:r>
              <w:rPr>
                <w:rFonts w:hint="eastAsia" w:ascii="宋体" w:hAnsi="宋体"/>
                <w:szCs w:val="21"/>
              </w:rPr>
              <w:t>（1）联合体各方应按照采购文件提供的格式签订联合体协议书，明确联合体牵头人和各方权利义务；</w:t>
            </w:r>
          </w:p>
          <w:p>
            <w:pPr>
              <w:spacing w:line="400" w:lineRule="exact"/>
              <w:ind w:firstLine="420" w:firstLineChars="200"/>
              <w:rPr>
                <w:rFonts w:ascii="宋体" w:hAnsi="宋体"/>
                <w:szCs w:val="21"/>
              </w:rPr>
            </w:pPr>
            <w:r>
              <w:rPr>
                <w:rFonts w:hint="eastAsia" w:ascii="宋体" w:hAnsi="宋体"/>
                <w:szCs w:val="21"/>
              </w:rPr>
              <w:t>（2）联合体各方均应当具备承担采购项目的相应能力，联合体协议约定同一专业分工由两个及以上单位共同承担的，按照资质等级较低的单位确定资质等级；</w:t>
            </w:r>
          </w:p>
          <w:p>
            <w:pPr>
              <w:spacing w:line="400" w:lineRule="exact"/>
              <w:ind w:firstLine="420" w:firstLineChars="200"/>
              <w:rPr>
                <w:rFonts w:ascii="宋体" w:hAnsi="宋体"/>
                <w:szCs w:val="21"/>
              </w:rPr>
            </w:pPr>
            <w:r>
              <w:rPr>
                <w:rFonts w:hint="eastAsia" w:ascii="宋体" w:hAnsi="宋体"/>
                <w:szCs w:val="21"/>
              </w:rPr>
              <w:t>（3）联合体各方不得再以自己名义单独或参加其他联合体在同一标段中投标。</w:t>
            </w:r>
          </w:p>
          <w:p>
            <w:pPr>
              <w:spacing w:line="400" w:lineRule="exact"/>
              <w:ind w:firstLine="420" w:firstLineChars="200"/>
              <w:rPr>
                <w:rFonts w:ascii="宋体" w:hAnsi="宋体"/>
                <w:szCs w:val="21"/>
              </w:rPr>
            </w:pPr>
            <w:r>
              <w:rPr>
                <w:rFonts w:hint="eastAsia" w:ascii="宋体" w:hAnsi="宋体"/>
                <w:szCs w:val="21"/>
              </w:rPr>
              <w:t>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szCs w:val="21"/>
              </w:rPr>
            </w:pPr>
          </w:p>
        </w:tc>
        <w:tc>
          <w:tcPr>
            <w:tcW w:w="1515" w:type="dxa"/>
            <w:vMerge w:val="restart"/>
            <w:vAlign w:val="center"/>
          </w:tcPr>
          <w:p>
            <w:pPr>
              <w:spacing w:line="400" w:lineRule="exact"/>
              <w:jc w:val="center"/>
              <w:rPr>
                <w:rFonts w:ascii="宋体" w:hAnsi="宋体"/>
                <w:szCs w:val="21"/>
              </w:rPr>
            </w:pPr>
            <w:r>
              <w:rPr>
                <w:rFonts w:hint="eastAsia" w:ascii="宋体" w:hAnsi="宋体"/>
                <w:szCs w:val="21"/>
              </w:rPr>
              <w:t>形式评审</w:t>
            </w:r>
          </w:p>
        </w:tc>
        <w:tc>
          <w:tcPr>
            <w:tcW w:w="6333" w:type="dxa"/>
          </w:tcPr>
          <w:p>
            <w:pPr>
              <w:spacing w:line="400" w:lineRule="exact"/>
              <w:ind w:firstLine="420" w:firstLineChars="200"/>
              <w:rPr>
                <w:rFonts w:ascii="宋体" w:hAnsi="宋体"/>
                <w:szCs w:val="21"/>
              </w:rPr>
            </w:pPr>
            <w:r>
              <w:rPr>
                <w:rFonts w:hint="eastAsia" w:ascii="宋体" w:hAnsi="宋体"/>
                <w:szCs w:val="21"/>
              </w:rPr>
              <w:t>A-9投标人名称必须与营业执照、资质证书、安全生产许可证一致，依法变更名称的应提交相应证明材料，</w:t>
            </w:r>
            <w:r>
              <w:rPr>
                <w:rFonts w:ascii="宋体" w:hAnsi="宋体"/>
                <w:szCs w:val="21"/>
              </w:rPr>
              <w:t>否则</w:t>
            </w:r>
            <w:r>
              <w:rPr>
                <w:rFonts w:hint="eastAsia" w:ascii="宋体" w:hAnsi="宋体"/>
                <w:szCs w:val="21"/>
              </w:rPr>
              <w:t>由评标委员会</w:t>
            </w:r>
            <w:r>
              <w:rPr>
                <w:rFonts w:ascii="宋体" w:hAnsi="宋体"/>
                <w:szCs w:val="21"/>
              </w:rPr>
              <w:t>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szCs w:val="21"/>
              </w:rPr>
            </w:pPr>
          </w:p>
        </w:tc>
        <w:tc>
          <w:tcPr>
            <w:tcW w:w="1515" w:type="dxa"/>
            <w:vMerge w:val="continue"/>
            <w:vAlign w:val="center"/>
          </w:tcPr>
          <w:p>
            <w:pPr>
              <w:spacing w:line="400" w:lineRule="exact"/>
              <w:jc w:val="center"/>
              <w:rPr>
                <w:rFonts w:ascii="宋体" w:hAnsi="宋体"/>
                <w:szCs w:val="21"/>
              </w:rPr>
            </w:pPr>
          </w:p>
        </w:tc>
        <w:tc>
          <w:tcPr>
            <w:tcW w:w="6333" w:type="dxa"/>
          </w:tcPr>
          <w:p>
            <w:pPr>
              <w:spacing w:line="400" w:lineRule="exact"/>
              <w:ind w:firstLine="420" w:firstLineChars="200"/>
              <w:rPr>
                <w:rFonts w:ascii="宋体" w:hAnsi="宋体"/>
                <w:szCs w:val="21"/>
              </w:rPr>
            </w:pPr>
            <w:r>
              <w:rPr>
                <w:rFonts w:hint="eastAsia" w:ascii="宋体" w:hAnsi="宋体"/>
                <w:szCs w:val="21"/>
              </w:rPr>
              <w:t>A-10投标文件格式（不含投标函部分）符合第二章“投标人须知”第3.7款的要求，否则由评标委员会作否决投标处理。</w:t>
            </w:r>
          </w:p>
          <w:p>
            <w:pPr>
              <w:spacing w:line="400" w:lineRule="exact"/>
              <w:ind w:firstLine="420" w:firstLineChars="200"/>
              <w:rPr>
                <w:rFonts w:ascii="宋体" w:hAnsi="宋体"/>
                <w:szCs w:val="21"/>
              </w:rPr>
            </w:pPr>
            <w:r>
              <w:rPr>
                <w:rFonts w:hint="eastAsia" w:ascii="宋体" w:hAnsi="宋体"/>
                <w:kern w:val="0"/>
                <w:szCs w:val="21"/>
              </w:rPr>
              <w:t>编制投标文件时不得对第八章“投标文件格式”的相应要素作实质性修改，否则</w:t>
            </w:r>
            <w:r>
              <w:rPr>
                <w:rFonts w:hint="eastAsia" w:ascii="宋体" w:hAnsi="宋体"/>
                <w:szCs w:val="21"/>
              </w:rPr>
              <w:t>视为重大偏差，</w:t>
            </w:r>
            <w:r>
              <w:rPr>
                <w:rFonts w:hint="eastAsia" w:ascii="宋体" w:hAnsi="宋体"/>
                <w:kern w:val="0"/>
                <w:szCs w:val="21"/>
              </w:rPr>
              <w:t>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szCs w:val="21"/>
              </w:rPr>
            </w:pPr>
          </w:p>
        </w:tc>
        <w:tc>
          <w:tcPr>
            <w:tcW w:w="1515" w:type="dxa"/>
            <w:vMerge w:val="continue"/>
            <w:vAlign w:val="center"/>
          </w:tcPr>
          <w:p>
            <w:pPr>
              <w:spacing w:line="400" w:lineRule="exact"/>
              <w:jc w:val="center"/>
              <w:rPr>
                <w:rFonts w:ascii="宋体" w:hAnsi="宋体"/>
                <w:szCs w:val="21"/>
              </w:rPr>
            </w:pPr>
          </w:p>
        </w:tc>
        <w:tc>
          <w:tcPr>
            <w:tcW w:w="6333" w:type="dxa"/>
          </w:tcPr>
          <w:p>
            <w:pPr>
              <w:spacing w:line="400" w:lineRule="exact"/>
              <w:ind w:firstLine="420" w:firstLineChars="200"/>
              <w:rPr>
                <w:rFonts w:ascii="宋体" w:hAnsi="宋体"/>
                <w:szCs w:val="21"/>
              </w:rPr>
            </w:pPr>
            <w:r>
              <w:rPr>
                <w:rFonts w:hint="eastAsia" w:ascii="宋体" w:hAnsi="宋体"/>
                <w:szCs w:val="21"/>
              </w:rPr>
              <w:t>A-11联合体参与投标的应提交联合体协议书，并明确联合体牵头人。在联合体协议中须明确由联合体牵头人委派委托代理人，否则由评标委员会作否决投标处理。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szCs w:val="21"/>
              </w:rPr>
            </w:pPr>
          </w:p>
        </w:tc>
        <w:tc>
          <w:tcPr>
            <w:tcW w:w="1515" w:type="dxa"/>
            <w:vMerge w:val="continue"/>
            <w:vAlign w:val="center"/>
          </w:tcPr>
          <w:p>
            <w:pPr>
              <w:spacing w:line="400" w:lineRule="exact"/>
              <w:jc w:val="center"/>
              <w:rPr>
                <w:rFonts w:ascii="宋体" w:hAnsi="宋体"/>
                <w:szCs w:val="21"/>
              </w:rPr>
            </w:pPr>
          </w:p>
        </w:tc>
        <w:tc>
          <w:tcPr>
            <w:tcW w:w="6333" w:type="dxa"/>
          </w:tcPr>
          <w:p>
            <w:pPr>
              <w:spacing w:line="400" w:lineRule="exact"/>
              <w:ind w:firstLine="420" w:firstLineChars="200"/>
              <w:rPr>
                <w:rFonts w:ascii="宋体" w:hAnsi="宋体"/>
                <w:szCs w:val="21"/>
              </w:rPr>
            </w:pPr>
            <w:r>
              <w:rPr>
                <w:rFonts w:hint="eastAsia" w:ascii="宋体" w:hAnsi="宋体"/>
                <w:szCs w:val="21"/>
              </w:rPr>
              <w:t>A-12第八章 投标文件格式（不含投标函部分）要求法定代表人或其委托代理人签字（或盖章）的须齐全，否则由评标委员会作否决投标处理。</w:t>
            </w:r>
          </w:p>
          <w:p>
            <w:pPr>
              <w:spacing w:line="400" w:lineRule="exact"/>
              <w:ind w:firstLine="420" w:firstLineChars="200"/>
              <w:rPr>
                <w:rFonts w:ascii="宋体" w:hAnsi="宋体"/>
                <w:szCs w:val="21"/>
              </w:rPr>
            </w:pPr>
            <w:r>
              <w:rPr>
                <w:rFonts w:hint="eastAsia" w:ascii="宋体" w:hAnsi="宋体"/>
                <w:szCs w:val="21"/>
              </w:rPr>
              <w:t>若投标单位为联合体，则联合体协议书中各联合体成员单位签字（或盖章）须齐全，联合体协议书以外的投标文件格式中，要求法定代表人或其委托代理人签字（或盖章）的均由联合体牵头人法定代表人或其委托代理人签字（或盖章），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szCs w:val="21"/>
              </w:rPr>
            </w:pPr>
          </w:p>
        </w:tc>
        <w:tc>
          <w:tcPr>
            <w:tcW w:w="1515" w:type="dxa"/>
            <w:vMerge w:val="continue"/>
            <w:vAlign w:val="center"/>
          </w:tcPr>
          <w:p>
            <w:pPr>
              <w:spacing w:line="400" w:lineRule="exact"/>
              <w:jc w:val="center"/>
              <w:rPr>
                <w:rFonts w:ascii="宋体" w:hAnsi="宋体"/>
                <w:szCs w:val="21"/>
              </w:rPr>
            </w:pPr>
          </w:p>
        </w:tc>
        <w:tc>
          <w:tcPr>
            <w:tcW w:w="6333" w:type="dxa"/>
          </w:tcPr>
          <w:p>
            <w:pPr>
              <w:spacing w:line="400" w:lineRule="exact"/>
              <w:ind w:firstLine="420" w:firstLineChars="200"/>
              <w:rPr>
                <w:rFonts w:ascii="宋体" w:hAnsi="宋体"/>
                <w:szCs w:val="21"/>
              </w:rPr>
            </w:pPr>
            <w:r>
              <w:rPr>
                <w:rFonts w:hint="eastAsia" w:ascii="宋体" w:hAnsi="宋体"/>
                <w:szCs w:val="21"/>
              </w:rPr>
              <w:t>A-13投标人法定代表人的委托代理人有法定代表人签署的授权委托书和投标人为其缴纳的养老保险证明材料。否则由评标委员会作否决投标处理。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szCs w:val="21"/>
              </w:rPr>
            </w:pPr>
          </w:p>
        </w:tc>
        <w:tc>
          <w:tcPr>
            <w:tcW w:w="1515" w:type="dxa"/>
            <w:vMerge w:val="restart"/>
            <w:vAlign w:val="center"/>
          </w:tcPr>
          <w:p>
            <w:pPr>
              <w:spacing w:line="400" w:lineRule="exact"/>
              <w:jc w:val="center"/>
              <w:rPr>
                <w:rFonts w:ascii="宋体" w:hAnsi="宋体"/>
                <w:szCs w:val="21"/>
              </w:rPr>
            </w:pPr>
            <w:r>
              <w:rPr>
                <w:rFonts w:hint="eastAsia" w:ascii="宋体" w:hAnsi="宋体"/>
                <w:szCs w:val="21"/>
              </w:rPr>
              <w:t>响应性评审</w:t>
            </w: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A-14投标内容符合第二章“投标人须知”第1.3.1项规定，否则由评标委员会作否决投标处理。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620" w:hRule="atLeast"/>
          <w:jc w:val="center"/>
        </w:trPr>
        <w:tc>
          <w:tcPr>
            <w:tcW w:w="961" w:type="dxa"/>
            <w:vMerge w:val="continue"/>
            <w:vAlign w:val="center"/>
          </w:tcPr>
          <w:p>
            <w:pPr>
              <w:spacing w:line="400" w:lineRule="exact"/>
              <w:jc w:val="center"/>
              <w:rPr>
                <w:rFonts w:ascii="宋体" w:hAnsi="宋体"/>
                <w:szCs w:val="21"/>
              </w:rPr>
            </w:pPr>
          </w:p>
        </w:tc>
        <w:tc>
          <w:tcPr>
            <w:tcW w:w="1515"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A-1</w:t>
            </w:r>
            <w:r>
              <w:rPr>
                <w:rFonts w:ascii="宋体" w:hAnsi="宋体"/>
                <w:szCs w:val="21"/>
              </w:rPr>
              <w:t>5</w:t>
            </w:r>
            <w:r>
              <w:rPr>
                <w:rFonts w:hint="eastAsia" w:ascii="宋体" w:hAnsi="宋体"/>
                <w:szCs w:val="21"/>
              </w:rPr>
              <w:t>符合第四章“合同条款及格式”规定，投标文件不应附有采购人不能接受的条件。否则由评标委员会作否决投标处理。（由投标人承诺，承诺书格式详见第八章投标文件格式。）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szCs w:val="21"/>
              </w:rPr>
            </w:pPr>
          </w:p>
        </w:tc>
        <w:tc>
          <w:tcPr>
            <w:tcW w:w="1515"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A-1</w:t>
            </w:r>
            <w:r>
              <w:rPr>
                <w:rFonts w:ascii="宋体" w:hAnsi="宋体"/>
                <w:szCs w:val="21"/>
              </w:rPr>
              <w:t>6</w:t>
            </w:r>
            <w:r>
              <w:rPr>
                <w:rFonts w:hint="eastAsia" w:ascii="宋体" w:hAnsi="宋体"/>
                <w:szCs w:val="21"/>
              </w:rPr>
              <w:t>符合第七章“技术标准和要求”规定。否则由评标委员会作否决投标处理（如有）。（由投标人承诺，承诺书格式详见第八章投标文件格式。）</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szCs w:val="21"/>
              </w:rPr>
            </w:pPr>
          </w:p>
        </w:tc>
        <w:tc>
          <w:tcPr>
            <w:tcW w:w="1515"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A-1</w:t>
            </w:r>
            <w:r>
              <w:rPr>
                <w:rFonts w:ascii="宋体" w:hAnsi="宋体"/>
                <w:szCs w:val="21"/>
              </w:rPr>
              <w:t>7</w:t>
            </w:r>
            <w:r>
              <w:rPr>
                <w:rFonts w:hint="eastAsia" w:ascii="宋体" w:hAnsi="宋体"/>
                <w:szCs w:val="21"/>
              </w:rPr>
              <w:t>投标人有以下情形之一的，其投标文件由评标委员会</w:t>
            </w:r>
            <w:r>
              <w:rPr>
                <w:rFonts w:ascii="宋体" w:hAnsi="宋体"/>
                <w:szCs w:val="21"/>
              </w:rPr>
              <w:t>作否决投标处理</w:t>
            </w:r>
            <w:r>
              <w:rPr>
                <w:rFonts w:hint="eastAsia" w:ascii="宋体" w:hAnsi="宋体"/>
                <w:szCs w:val="21"/>
              </w:rPr>
              <w:t>：</w:t>
            </w:r>
          </w:p>
          <w:p>
            <w:pPr>
              <w:spacing w:line="400" w:lineRule="exact"/>
              <w:ind w:firstLine="420" w:firstLineChars="200"/>
              <w:rPr>
                <w:rFonts w:ascii="宋体" w:hAnsi="宋体"/>
                <w:szCs w:val="21"/>
              </w:rPr>
            </w:pPr>
            <w:r>
              <w:rPr>
                <w:rFonts w:hint="eastAsia" w:ascii="宋体" w:hAnsi="宋体"/>
                <w:szCs w:val="21"/>
              </w:rPr>
              <w:t>1.第二章“投标人须知”第1.4.3项规定的任何一种情形的；</w:t>
            </w:r>
          </w:p>
          <w:p>
            <w:pPr>
              <w:spacing w:line="400" w:lineRule="exact"/>
              <w:ind w:firstLine="420" w:firstLineChars="200"/>
              <w:rPr>
                <w:rFonts w:ascii="宋体" w:hAnsi="宋体"/>
                <w:szCs w:val="21"/>
              </w:rPr>
            </w:pPr>
            <w:r>
              <w:rPr>
                <w:rFonts w:hint="eastAsia" w:ascii="宋体" w:hAnsi="宋体"/>
                <w:szCs w:val="21"/>
              </w:rPr>
              <w:t>2.本次投标有串通投标、弄虚作假等违反招投标相关法律、法规的行为的；</w:t>
            </w:r>
          </w:p>
          <w:p>
            <w:pPr>
              <w:spacing w:line="400" w:lineRule="exact"/>
              <w:ind w:firstLine="420" w:firstLineChars="200"/>
              <w:rPr>
                <w:rFonts w:ascii="宋体" w:hAnsi="宋体"/>
                <w:szCs w:val="21"/>
              </w:rPr>
            </w:pPr>
            <w:r>
              <w:rPr>
                <w:rFonts w:hint="eastAsia" w:ascii="宋体" w:hAnsi="宋体"/>
                <w:szCs w:val="21"/>
              </w:rPr>
              <w:t>3.拒绝按评标委员会要求澄清、说明或补正的。</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szCs w:val="21"/>
              </w:rPr>
            </w:pPr>
          </w:p>
        </w:tc>
        <w:tc>
          <w:tcPr>
            <w:tcW w:w="1515" w:type="dxa"/>
            <w:vMerge w:val="restart"/>
            <w:vAlign w:val="center"/>
          </w:tcPr>
          <w:p>
            <w:pPr>
              <w:spacing w:line="400" w:lineRule="exact"/>
              <w:jc w:val="center"/>
              <w:rPr>
                <w:rFonts w:ascii="宋体" w:hAnsi="宋体"/>
                <w:szCs w:val="21"/>
              </w:rPr>
            </w:pPr>
            <w:r>
              <w:rPr>
                <w:rFonts w:ascii="宋体" w:hAnsi="宋体"/>
                <w:szCs w:val="21"/>
              </w:rPr>
              <w:t>投标函部分及经济部分评审</w:t>
            </w: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A-1</w:t>
            </w:r>
            <w:r>
              <w:rPr>
                <w:rFonts w:ascii="宋体" w:hAnsi="宋体"/>
                <w:szCs w:val="21"/>
              </w:rPr>
              <w:t>8</w:t>
            </w:r>
            <w:r>
              <w:rPr>
                <w:rFonts w:hint="eastAsia" w:ascii="宋体" w:hAnsi="宋体"/>
                <w:szCs w:val="21"/>
              </w:rPr>
              <w:t>投标函部分的格式符合第二章“投标人须知”第3.7款的要求，否则由评标委员会作否决投标处理。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szCs w:val="21"/>
              </w:rPr>
            </w:pPr>
          </w:p>
        </w:tc>
        <w:tc>
          <w:tcPr>
            <w:tcW w:w="1515" w:type="dxa"/>
            <w:vMerge w:val="continue"/>
            <w:vAlign w:val="center"/>
          </w:tcPr>
          <w:p>
            <w:pPr>
              <w:spacing w:line="400" w:lineRule="exact"/>
              <w:jc w:val="center"/>
              <w:rPr>
                <w:rFonts w:ascii="宋体" w:hAnsi="宋体"/>
                <w:szCs w:val="21"/>
              </w:rPr>
            </w:pPr>
          </w:p>
        </w:tc>
        <w:tc>
          <w:tcPr>
            <w:tcW w:w="6333" w:type="dxa"/>
            <w:vAlign w:val="center"/>
          </w:tcPr>
          <w:p>
            <w:pPr>
              <w:spacing w:line="400" w:lineRule="exact"/>
              <w:rPr>
                <w:rFonts w:ascii="宋体" w:hAnsi="宋体"/>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szCs w:val="21"/>
              </w:rPr>
            </w:pPr>
          </w:p>
        </w:tc>
        <w:tc>
          <w:tcPr>
            <w:tcW w:w="1515"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w:t>
            </w:r>
            <w:r>
              <w:rPr>
                <w:rFonts w:ascii="宋体" w:hAnsi="宋体"/>
                <w:szCs w:val="21"/>
              </w:rPr>
              <w:t>09</w:t>
            </w:r>
            <w:r>
              <w:rPr>
                <w:rFonts w:hint="eastAsia" w:ascii="宋体" w:hAnsi="宋体"/>
                <w:szCs w:val="21"/>
              </w:rPr>
              <w:t>工期符合第二章“投标人须知”第1.3.2项规定，否则由评标委员会作否决投标处理。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szCs w:val="21"/>
              </w:rPr>
            </w:pPr>
          </w:p>
        </w:tc>
        <w:tc>
          <w:tcPr>
            <w:tcW w:w="1515"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w:t>
            </w:r>
            <w:r>
              <w:rPr>
                <w:rFonts w:ascii="宋体" w:hAnsi="宋体"/>
                <w:szCs w:val="21"/>
              </w:rPr>
              <w:t>20</w:t>
            </w:r>
            <w:r>
              <w:rPr>
                <w:rFonts w:hint="eastAsia" w:ascii="宋体" w:hAnsi="宋体"/>
                <w:szCs w:val="21"/>
              </w:rPr>
              <w:t>工程质量符合第二章“投标人须知”第1.3.3项规定，否则由评标委员会作否决投标处理。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szCs w:val="21"/>
              </w:rPr>
            </w:pPr>
          </w:p>
        </w:tc>
        <w:tc>
          <w:tcPr>
            <w:tcW w:w="1515"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w:t>
            </w:r>
            <w:r>
              <w:rPr>
                <w:rFonts w:ascii="宋体" w:hAnsi="宋体"/>
                <w:szCs w:val="21"/>
              </w:rPr>
              <w:t>21</w:t>
            </w:r>
            <w:r>
              <w:rPr>
                <w:rFonts w:hint="eastAsia" w:ascii="宋体" w:hAnsi="宋体"/>
                <w:szCs w:val="21"/>
              </w:rPr>
              <w:t>投标有效期符合第二章“投标人须知”第3.3.1项规定，否则由评标委员会作否决投标处理。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szCs w:val="21"/>
              </w:rPr>
            </w:pPr>
          </w:p>
        </w:tc>
        <w:tc>
          <w:tcPr>
            <w:tcW w:w="1515"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w:t>
            </w:r>
            <w:r>
              <w:rPr>
                <w:rFonts w:ascii="宋体" w:hAnsi="宋体"/>
                <w:szCs w:val="21"/>
              </w:rPr>
              <w:t>22</w:t>
            </w:r>
            <w:r>
              <w:rPr>
                <w:rFonts w:hint="eastAsia" w:ascii="宋体" w:hAnsi="宋体"/>
                <w:szCs w:val="21"/>
              </w:rPr>
              <w:t>投标函中的总报价必须与已标价工程量清单总报价一致,且工程量清单总报价与依据单价、工程数量、分部分项工程合价计算出的结果应一致，否则由评标委员会作否决投标处理。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szCs w:val="21"/>
              </w:rPr>
            </w:pPr>
          </w:p>
        </w:tc>
        <w:tc>
          <w:tcPr>
            <w:tcW w:w="1515"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w:t>
            </w:r>
            <w:r>
              <w:rPr>
                <w:rFonts w:ascii="宋体" w:hAnsi="宋体"/>
                <w:szCs w:val="21"/>
              </w:rPr>
              <w:t>23</w:t>
            </w:r>
            <w:r>
              <w:rPr>
                <w:rFonts w:hint="eastAsia" w:ascii="宋体" w:hAnsi="宋体"/>
                <w:szCs w:val="21"/>
              </w:rPr>
              <w:t xml:space="preserve"> 投标函中的总报价不得高于采购人公布的投标总报价最高限价，否则由评标委员会作否决投标处理。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szCs w:val="21"/>
              </w:rPr>
            </w:pPr>
          </w:p>
        </w:tc>
        <w:tc>
          <w:tcPr>
            <w:tcW w:w="1515"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w:t>
            </w:r>
            <w:r>
              <w:rPr>
                <w:rFonts w:ascii="宋体" w:hAnsi="宋体"/>
                <w:szCs w:val="21"/>
              </w:rPr>
              <w:t>24</w:t>
            </w:r>
            <w:r>
              <w:rPr>
                <w:rFonts w:hint="eastAsia" w:ascii="宋体" w:hAnsi="宋体"/>
                <w:szCs w:val="21"/>
              </w:rPr>
              <w:t>投标总报价低于最高限价85%的，投标人应在编制投标文件时，在投标函部分中递交低价风险担保缴纳承诺书。承诺书格式详见第八章投标文件格式,否则由评标委员会作否决投标处理。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szCs w:val="21"/>
              </w:rPr>
            </w:pPr>
          </w:p>
        </w:tc>
        <w:tc>
          <w:tcPr>
            <w:tcW w:w="1515"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w:t>
            </w:r>
            <w:r>
              <w:rPr>
                <w:rFonts w:ascii="宋体" w:hAnsi="宋体"/>
                <w:szCs w:val="21"/>
              </w:rPr>
              <w:t>25</w:t>
            </w:r>
            <w:r>
              <w:rPr>
                <w:rFonts w:hint="eastAsia" w:ascii="宋体" w:hAnsi="宋体"/>
                <w:szCs w:val="21"/>
              </w:rPr>
              <w:t>投标函中的安全文明施工费必须按照采购人给出的暂定金额填报，否则视为对采购文件不作实质性响应，其投标文件由评标委员会作否决投标处理。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szCs w:val="21"/>
              </w:rPr>
            </w:pPr>
          </w:p>
        </w:tc>
        <w:tc>
          <w:tcPr>
            <w:tcW w:w="1515"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w:t>
            </w:r>
            <w:r>
              <w:rPr>
                <w:rFonts w:ascii="宋体" w:hAnsi="宋体"/>
                <w:szCs w:val="21"/>
              </w:rPr>
              <w:t>26</w:t>
            </w:r>
            <w:r>
              <w:rPr>
                <w:rFonts w:hint="eastAsia" w:ascii="宋体" w:hAnsi="宋体"/>
                <w:szCs w:val="21"/>
              </w:rPr>
              <w:t>只能有一个有效报价。在采购文件没有规定的情况下，不得提交选择性报价，否则由评标委员会作否决投标处理。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szCs w:val="21"/>
              </w:rPr>
            </w:pPr>
          </w:p>
        </w:tc>
        <w:tc>
          <w:tcPr>
            <w:tcW w:w="1515"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w:t>
            </w:r>
            <w:r>
              <w:rPr>
                <w:rFonts w:ascii="宋体" w:hAnsi="宋体"/>
                <w:szCs w:val="21"/>
              </w:rPr>
              <w:t>27</w:t>
            </w:r>
            <w:r>
              <w:rPr>
                <w:rFonts w:hint="eastAsia" w:ascii="宋体" w:hAnsi="宋体"/>
                <w:szCs w:val="21"/>
              </w:rPr>
              <w:t>投标人必须按采购工程量清单填报价格。项目编码、项目名称、项目特征、计量单位、工程量必须与采购工程量清单一致。否则交由评标委员会作否决投标处理。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szCs w:val="21"/>
              </w:rPr>
            </w:pPr>
          </w:p>
        </w:tc>
        <w:tc>
          <w:tcPr>
            <w:tcW w:w="1515"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w:t>
            </w:r>
            <w:r>
              <w:rPr>
                <w:rFonts w:ascii="宋体" w:hAnsi="宋体"/>
                <w:szCs w:val="21"/>
              </w:rPr>
              <w:t>28</w:t>
            </w:r>
            <w:r>
              <w:rPr>
                <w:rFonts w:hint="eastAsia" w:ascii="宋体" w:hAnsi="宋体"/>
                <w:szCs w:val="21"/>
              </w:rPr>
              <w:t>采购人在工程量清单中所列出的价格（包括暂列金额、暂估价等），投标人不得修改，否则由评标委员会作否决投标处理。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szCs w:val="21"/>
              </w:rPr>
            </w:pPr>
          </w:p>
        </w:tc>
        <w:tc>
          <w:tcPr>
            <w:tcW w:w="1515"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w:t>
            </w:r>
            <w:r>
              <w:rPr>
                <w:rFonts w:ascii="宋体" w:hAnsi="宋体"/>
                <w:szCs w:val="21"/>
              </w:rPr>
              <w:t>29</w:t>
            </w:r>
            <w:r>
              <w:rPr>
                <w:rFonts w:hint="eastAsia" w:ascii="宋体" w:hAnsi="宋体"/>
                <w:szCs w:val="21"/>
              </w:rPr>
              <w:t>投标人的每项清单综合单价报价不得超过每项清单综合单价最高限价，否则由评标委员会作否决投标处理。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61" w:type="dxa"/>
            <w:vMerge w:val="continue"/>
            <w:vAlign w:val="center"/>
          </w:tcPr>
          <w:p>
            <w:pPr>
              <w:spacing w:line="400" w:lineRule="exact"/>
              <w:jc w:val="center"/>
              <w:rPr>
                <w:rFonts w:ascii="宋体" w:hAnsi="宋体"/>
                <w:szCs w:val="21"/>
              </w:rPr>
            </w:pPr>
          </w:p>
        </w:tc>
        <w:tc>
          <w:tcPr>
            <w:tcW w:w="1515" w:type="dxa"/>
            <w:vMerge w:val="continue"/>
            <w:vAlign w:val="center"/>
          </w:tcPr>
          <w:p>
            <w:pPr>
              <w:spacing w:line="400" w:lineRule="exact"/>
              <w:jc w:val="center"/>
              <w:rPr>
                <w:rFonts w:ascii="宋体" w:hAnsi="宋体"/>
                <w:szCs w:val="21"/>
              </w:rPr>
            </w:pPr>
          </w:p>
        </w:tc>
        <w:tc>
          <w:tcPr>
            <w:tcW w:w="6333" w:type="dxa"/>
            <w:vAlign w:val="center"/>
          </w:tcPr>
          <w:p>
            <w:pPr>
              <w:spacing w:line="400" w:lineRule="exact"/>
              <w:ind w:firstLine="420" w:firstLineChars="200"/>
              <w:rPr>
                <w:rFonts w:ascii="宋体" w:hAnsi="宋体"/>
                <w:szCs w:val="21"/>
              </w:rPr>
            </w:pPr>
            <w:r>
              <w:rPr>
                <w:rFonts w:hint="eastAsia" w:ascii="宋体" w:hAnsi="宋体"/>
                <w:szCs w:val="21"/>
              </w:rPr>
              <w:t>A-</w:t>
            </w:r>
            <w:r>
              <w:rPr>
                <w:rFonts w:ascii="宋体" w:hAnsi="宋体"/>
                <w:szCs w:val="21"/>
              </w:rPr>
              <w:t>30</w:t>
            </w:r>
            <w:r>
              <w:rPr>
                <w:rFonts w:hint="eastAsia" w:ascii="宋体" w:hAnsi="宋体"/>
                <w:szCs w:val="21"/>
              </w:rPr>
              <w:t>投标报价有算术错误的，按照第三章“评标办法”第3.2.3项规定执行，否则由评标委员会作否决投标处理。</w:t>
            </w:r>
          </w:p>
        </w:tc>
      </w:tr>
    </w:tbl>
    <w:p>
      <w:pPr>
        <w:pStyle w:val="33"/>
        <w:spacing w:line="360" w:lineRule="auto"/>
        <w:jc w:val="both"/>
        <w:rPr>
          <w:rFonts w:ascii="宋体" w:hAnsi="宋体"/>
          <w:sz w:val="21"/>
          <w:szCs w:val="21"/>
          <w:u w:val="none"/>
          <w:lang w:eastAsia="zh-CN"/>
        </w:rPr>
      </w:pPr>
    </w:p>
    <w:p>
      <w:pPr>
        <w:spacing w:line="200" w:lineRule="exact"/>
        <w:rPr>
          <w:rFonts w:ascii="宋体" w:hAnsi="宋体"/>
          <w:kern w:val="0"/>
        </w:rPr>
      </w:pPr>
      <w:r>
        <w:rPr>
          <w:rFonts w:ascii="宋体" w:hAnsi="宋体"/>
          <w:snapToGrid w:val="0"/>
          <w:kern w:val="0"/>
        </w:rPr>
        <w:br w:type="page"/>
      </w:r>
      <w:bookmarkStart w:id="38" w:name="招标文件03章02评标办法综合评估法"/>
      <w:bookmarkEnd w:id="38"/>
      <w:bookmarkStart w:id="39" w:name="招标文件03章02评标办法综合评估法00"/>
      <w:bookmarkEnd w:id="39"/>
      <w:bookmarkStart w:id="40" w:name="_Toc277082618"/>
      <w:bookmarkStart w:id="41" w:name="_Toc287620751"/>
      <w:bookmarkStart w:id="42" w:name="_Toc287607812"/>
      <w:bookmarkStart w:id="43" w:name="_Toc430530500"/>
      <w:bookmarkStart w:id="44" w:name="_Toc224103384"/>
      <w:bookmarkStart w:id="45" w:name="_Toc200513198"/>
    </w:p>
    <w:bookmarkEnd w:id="40"/>
    <w:bookmarkEnd w:id="41"/>
    <w:bookmarkEnd w:id="42"/>
    <w:bookmarkEnd w:id="43"/>
    <w:bookmarkEnd w:id="44"/>
    <w:bookmarkEnd w:id="45"/>
    <w:p>
      <w:pPr>
        <w:pStyle w:val="3"/>
        <w:spacing w:line="360" w:lineRule="auto"/>
        <w:jc w:val="center"/>
        <w:rPr>
          <w:rFonts w:ascii="宋体" w:hAnsi="宋体"/>
          <w:kern w:val="0"/>
        </w:rPr>
      </w:pPr>
      <w:bookmarkStart w:id="46" w:name="_Toc430530509"/>
      <w:bookmarkStart w:id="47" w:name="_Toc509218785"/>
      <w:bookmarkStart w:id="48" w:name="_Toc22492"/>
      <w:r>
        <w:rPr>
          <w:rFonts w:hint="eastAsia" w:ascii="宋体" w:hAnsi="宋体"/>
          <w:kern w:val="0"/>
        </w:rPr>
        <w:t xml:space="preserve">第三章  </w:t>
      </w:r>
      <w:bookmarkEnd w:id="46"/>
      <w:bookmarkEnd w:id="47"/>
      <w:bookmarkEnd w:id="48"/>
    </w:p>
    <w:p>
      <w:pPr>
        <w:spacing w:line="480" w:lineRule="exact"/>
        <w:ind w:firstLine="3092" w:firstLineChars="700"/>
        <w:rPr>
          <w:rFonts w:ascii="宋体" w:hAnsi="宋体"/>
          <w:b/>
          <w:bCs/>
          <w:snapToGrid w:val="0"/>
          <w:kern w:val="0"/>
          <w:sz w:val="44"/>
          <w:szCs w:val="44"/>
        </w:rPr>
      </w:pPr>
      <w:bookmarkStart w:id="49" w:name="_Toc296890982"/>
      <w:bookmarkStart w:id="50" w:name="_Toc351203480"/>
      <w:bookmarkStart w:id="51" w:name="_Toc296503025"/>
      <w:bookmarkStart w:id="52" w:name="_Toc351203632"/>
      <w:r>
        <w:rPr>
          <w:rFonts w:hint="eastAsia" w:ascii="宋体" w:hAnsi="宋体"/>
          <w:b/>
          <w:bCs/>
          <w:snapToGrid w:val="0"/>
          <w:kern w:val="0"/>
          <w:sz w:val="44"/>
          <w:szCs w:val="44"/>
        </w:rPr>
        <w:t>档案整理服务合同</w:t>
      </w:r>
    </w:p>
    <w:p>
      <w:pPr>
        <w:spacing w:line="48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甲方：                          </w:t>
      </w:r>
    </w:p>
    <w:p>
      <w:pPr>
        <w:spacing w:line="48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乙方：</w:t>
      </w:r>
    </w:p>
    <w:p>
      <w:pPr>
        <w:spacing w:line="480" w:lineRule="exact"/>
        <w:ind w:firstLine="640" w:firstLineChars="200"/>
        <w:rPr>
          <w:rFonts w:ascii="方正仿宋_GBK" w:hAnsi="方正仿宋_GBK" w:eastAsia="方正仿宋_GBK" w:cs="方正仿宋_GBK"/>
          <w:sz w:val="32"/>
          <w:szCs w:val="32"/>
        </w:rPr>
      </w:pPr>
    </w:p>
    <w:p>
      <w:pPr>
        <w:spacing w:line="4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依据中华人民共和国《招标法》《民法典》及其它法律、法规，遵循平等、守信的原则，本着精诚合作的精神，按照国家和重庆市、南岸区档案行政管理部门总体规划和要求，加快推进甲方档案整理和数字化加工的进程，实现档案管理规范化，经甲、乙双方友好协商，就甲方现有档案资料项目签订本合作协议。</w:t>
      </w:r>
    </w:p>
    <w:p>
      <w:pPr>
        <w:spacing w:line="4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一、业务范围</w:t>
      </w:r>
    </w:p>
    <w:p>
      <w:pPr>
        <w:spacing w:line="4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对甲方现有文书、业务、工程档案进行规范整理。</w:t>
      </w:r>
    </w:p>
    <w:p>
      <w:pPr>
        <w:spacing w:line="4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二、权利与义务</w:t>
      </w:r>
    </w:p>
    <w:p>
      <w:pPr>
        <w:spacing w:line="480" w:lineRule="exact"/>
        <w:ind w:firstLine="480" w:firstLineChars="15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（一）甲方</w:t>
      </w:r>
    </w:p>
    <w:p>
      <w:pPr>
        <w:spacing w:line="4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1.负责办好档案的交接手续；</w:t>
      </w:r>
    </w:p>
    <w:p>
      <w:pPr>
        <w:spacing w:line="4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2.负责对档案的质量指导、验收工作；</w:t>
      </w:r>
    </w:p>
    <w:p>
      <w:pPr>
        <w:spacing w:line="4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3.及时据实支付档案加工费用。</w:t>
      </w:r>
    </w:p>
    <w:p>
      <w:pPr>
        <w:spacing w:line="480" w:lineRule="exact"/>
        <w:ind w:firstLine="480" w:firstLineChars="15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（二）乙方</w:t>
      </w:r>
    </w:p>
    <w:p>
      <w:pPr>
        <w:spacing w:line="4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1.负责档案资料整理的具体工作；</w:t>
      </w:r>
    </w:p>
    <w:p>
      <w:pPr>
        <w:spacing w:line="4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2.积极协调解决用户提出的意见和遇到的技术难题；</w:t>
      </w:r>
    </w:p>
    <w:p>
      <w:pPr>
        <w:spacing w:line="4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3.协助甲方建立系统的档案管理制度；</w:t>
      </w:r>
    </w:p>
    <w:p>
      <w:pPr>
        <w:spacing w:line="4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4.做好档案的保密工作，认真执行《保密责任书》，对档案整理期间出现的失泄密事件负完全责任。</w:t>
      </w:r>
    </w:p>
    <w:p>
      <w:pPr>
        <w:spacing w:line="4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三、档案整理标准规范</w:t>
      </w:r>
    </w:p>
    <w:p>
      <w:pPr>
        <w:spacing w:line="480" w:lineRule="exact"/>
        <w:ind w:left="2" w:leftChars="1" w:firstLine="480" w:firstLineChars="15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（一）严格执行《中华人民共和国国家标准文书档案归档文件整理规则》（DA/T22--2000）；</w:t>
      </w:r>
    </w:p>
    <w:p>
      <w:pPr>
        <w:spacing w:line="480" w:lineRule="exact"/>
        <w:ind w:left="2" w:leftChars="1" w:firstLine="480" w:firstLineChars="15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（二）严格执行《重庆市机关归档文件整理实施细则》（渝档发〔2009〕34号）文件。</w:t>
      </w:r>
    </w:p>
    <w:p>
      <w:pPr>
        <w:spacing w:line="480" w:lineRule="exact"/>
        <w:ind w:left="2" w:leftChars="1" w:firstLine="480" w:firstLineChars="15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（三）工程档案应符合移交城乡建设档案管理机构的标准，其余类型档案应符合国家及重庆市相关标准。</w:t>
      </w:r>
    </w:p>
    <w:p>
      <w:pPr>
        <w:spacing w:line="4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四、收费标准</w:t>
      </w:r>
    </w:p>
    <w:p>
      <w:pPr>
        <w:spacing w:line="4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文书档案整理收费标准：文书整理为5.5元/件，发文汇集整理为45元/卷；会计凭证整理为5.5元/卷；报表、帐簿整理为45元/卷；工程档案整理为130元/卷；档案录入条目0.6元/条；数字化扫描A4纸以内0.45元/页（彩色）；文书档案盒6元/个：工程档案（套）17元/套；以实际整理数量结算。</w:t>
      </w:r>
    </w:p>
    <w:p>
      <w:pPr>
        <w:spacing w:line="4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五、完成时间</w:t>
      </w:r>
    </w:p>
    <w:p>
      <w:pPr>
        <w:spacing w:line="4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从甲乙双方签订本协议起的**个月之内完成。</w:t>
      </w:r>
    </w:p>
    <w:p>
      <w:pPr>
        <w:spacing w:line="4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六、付款方式及付款时间</w:t>
      </w:r>
    </w:p>
    <w:p>
      <w:pPr>
        <w:spacing w:line="4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付款方式：银行转账。</w:t>
      </w:r>
    </w:p>
    <w:p>
      <w:pPr>
        <w:spacing w:line="4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付款时间：预付款5万元，项目全部完工移交给甲方，经甲方验收合格后在5个工作日内付清全部款项给乙方。</w:t>
      </w:r>
    </w:p>
    <w:p>
      <w:pPr>
        <w:spacing w:line="4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七、违约责任</w:t>
      </w:r>
    </w:p>
    <w:p>
      <w:pPr>
        <w:spacing w:line="4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甲乙双方需认真履行本协议，一方不履行或不完全履行，其带来的一切损失均由不履行或不完全履行方承担。</w:t>
      </w:r>
    </w:p>
    <w:p>
      <w:pPr>
        <w:spacing w:line="4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八、其他</w:t>
      </w:r>
    </w:p>
    <w:p>
      <w:pPr>
        <w:spacing w:line="480" w:lineRule="exact"/>
        <w:ind w:firstLine="480" w:firstLineChars="15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（一）未尽事宜，甲乙双方可另行商订补充协议，并与本协议有同等法律效力；</w:t>
      </w:r>
    </w:p>
    <w:p>
      <w:pPr>
        <w:spacing w:line="480" w:lineRule="exact"/>
        <w:ind w:firstLine="480" w:firstLineChars="15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（二）本协议一式两份，甲乙双方各执一份，具有同等效力；</w:t>
      </w:r>
    </w:p>
    <w:p>
      <w:pPr>
        <w:spacing w:line="480" w:lineRule="exact"/>
        <w:ind w:firstLine="480" w:firstLineChars="15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甲方：                    乙方：</w:t>
      </w:r>
    </w:p>
    <w:p>
      <w:pPr>
        <w:spacing w:line="480" w:lineRule="exact"/>
        <w:ind w:firstLine="480" w:firstLineChars="15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签字：                    签字：</w:t>
      </w:r>
    </w:p>
    <w:p>
      <w:pPr>
        <w:spacing w:line="480" w:lineRule="exact"/>
        <w:ind w:firstLine="480" w:firstLineChars="15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日期：                    日期：</w:t>
      </w:r>
    </w:p>
    <w:p>
      <w:pPr>
        <w:spacing w:line="480" w:lineRule="exact"/>
        <w:ind w:firstLine="480" w:firstLineChars="15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电话：                    电话：</w:t>
      </w:r>
    </w:p>
    <w:p>
      <w:pPr>
        <w:spacing w:line="480" w:lineRule="exact"/>
        <w:ind w:firstLine="480" w:firstLineChars="15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地址：                    地址；</w:t>
      </w:r>
    </w:p>
    <w:p>
      <w:pPr>
        <w:spacing w:line="480" w:lineRule="exact"/>
        <w:ind w:firstLine="480" w:firstLineChars="15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开户行：                  开户行：</w:t>
      </w:r>
    </w:p>
    <w:p>
      <w:pPr>
        <w:spacing w:line="480" w:lineRule="exact"/>
        <w:ind w:firstLine="480" w:firstLineChars="15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账号：                    账号：</w:t>
      </w:r>
    </w:p>
    <w:p>
      <w:pPr>
        <w:spacing w:line="480" w:lineRule="exact"/>
        <w:ind w:firstLine="480" w:firstLineChars="150"/>
        <w:rPr>
          <w:rFonts w:ascii="宋体" w:hAnsi="宋体"/>
          <w:b/>
          <w:bCs/>
          <w:szCs w:val="21"/>
        </w:rPr>
      </w:pPr>
      <w:r>
        <w:rPr>
          <w:rFonts w:hint="eastAsia" w:ascii="方正仿宋_GBK" w:hAnsi="方正仿宋_GBK" w:eastAsia="方正仿宋_GBK" w:cs="方正仿宋_GBK"/>
          <w:sz w:val="32"/>
          <w:szCs w:val="32"/>
        </w:rPr>
        <w:t>付款单位：                收款单位：</w:t>
      </w:r>
      <w:bookmarkEnd w:id="49"/>
      <w:bookmarkEnd w:id="50"/>
      <w:bookmarkEnd w:id="51"/>
      <w:bookmarkEnd w:id="52"/>
    </w:p>
    <w:sectPr>
      <w:footerReference r:id="rId3" w:type="default"/>
      <w:footerReference r:id="rId4" w:type="even"/>
      <w:pgSz w:w="11906" w:h="16838"/>
      <w:pgMar w:top="1304" w:right="1134" w:bottom="1304" w:left="1304"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方正书宋简体">
    <w:altName w:val="微软雅黑"/>
    <w:panose1 w:val="00000000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altName w:val="Arial Unicode MS"/>
    <w:panose1 w:val="00000000000000000000"/>
    <w:charset w:val="86"/>
    <w:family w:val="auto"/>
    <w:pitch w:val="default"/>
    <w:sig w:usb0="00000000" w:usb1="00000000" w:usb2="0000001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MingLiU">
    <w:panose1 w:val="02020509000000000000"/>
    <w:charset w:val="88"/>
    <w:family w:val="modern"/>
    <w:pitch w:val="default"/>
    <w:sig w:usb0="A00002FF" w:usb1="28CFFCFA" w:usb2="00000016" w:usb3="00000000" w:csb0="00100001" w:csb1="00000000"/>
  </w:font>
  <w:font w:name="方正仿宋_GBK">
    <w:panose1 w:val="03000509000000000000"/>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w:rPr>
        <w:sz w:val="28"/>
        <w:szCs w:val="28"/>
      </w:rPr>
      <w:fldChar w:fldCharType="begin"/>
    </w:r>
    <w:r>
      <w:rPr>
        <w:sz w:val="28"/>
        <w:szCs w:val="28"/>
      </w:rPr>
      <w:instrText xml:space="preserve"> PAGE </w:instrText>
    </w:r>
    <w:r>
      <w:rPr>
        <w:sz w:val="28"/>
        <w:szCs w:val="28"/>
      </w:rPr>
      <w:fldChar w:fldCharType="separate"/>
    </w:r>
    <w:r>
      <w:rPr>
        <w:sz w:val="28"/>
        <w:szCs w:val="28"/>
      </w:rPr>
      <w:t>- 15 -</w:t>
    </w:r>
    <w:r>
      <w:rPr>
        <w:sz w:val="28"/>
        <w:szCs w:val="28"/>
      </w:rPr>
      <w:fldChar w:fldCharType="end"/>
    </w:r>
    <w:r>
      <w:rPr>
        <w:sz w:val="28"/>
        <w:szCs w:val="28"/>
      </w:rPr>
      <w:t xml:space="preserve"> </w:t>
    </w:r>
    <w: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2603149"/>
    </w:sdtPr>
    <w:sdtEndPr>
      <w:rPr>
        <w:sz w:val="28"/>
        <w:szCs w:val="28"/>
      </w:rPr>
    </w:sdtEndPr>
    <w:sdtContent>
      <w:p>
        <w:pPr>
          <w:pStyle w:val="29"/>
          <w:jc w:val="center"/>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16 -</w:t>
        </w:r>
        <w:r>
          <w:rPr>
            <w:sz w:val="28"/>
            <w:szCs w:val="28"/>
          </w:rPr>
          <w:fldChar w:fldCharType="end"/>
        </w:r>
      </w:p>
    </w:sdtContent>
  </w:sdt>
  <w:p>
    <w:pPr>
      <w:pStyle w:val="2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hideSpellingErrors/>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BmZDRmMzQyOTc1NDBlZGMyNDA3YTlmZWIyYmQzOWIifQ=="/>
  </w:docVars>
  <w:rsids>
    <w:rsidRoot w:val="00172A27"/>
    <w:rsid w:val="00001345"/>
    <w:rsid w:val="00001A09"/>
    <w:rsid w:val="00001B1E"/>
    <w:rsid w:val="000027C8"/>
    <w:rsid w:val="0000285A"/>
    <w:rsid w:val="00002D86"/>
    <w:rsid w:val="00003A3F"/>
    <w:rsid w:val="00005443"/>
    <w:rsid w:val="00005E79"/>
    <w:rsid w:val="000067A3"/>
    <w:rsid w:val="000068FD"/>
    <w:rsid w:val="00014531"/>
    <w:rsid w:val="00014DF1"/>
    <w:rsid w:val="00015333"/>
    <w:rsid w:val="00015C9C"/>
    <w:rsid w:val="0001647D"/>
    <w:rsid w:val="0001650A"/>
    <w:rsid w:val="000165A8"/>
    <w:rsid w:val="0001665A"/>
    <w:rsid w:val="00016AC9"/>
    <w:rsid w:val="00017F2D"/>
    <w:rsid w:val="00020EB1"/>
    <w:rsid w:val="00021228"/>
    <w:rsid w:val="000215EB"/>
    <w:rsid w:val="00022747"/>
    <w:rsid w:val="00022F4C"/>
    <w:rsid w:val="00023AD6"/>
    <w:rsid w:val="00023B7F"/>
    <w:rsid w:val="00024492"/>
    <w:rsid w:val="00025644"/>
    <w:rsid w:val="00025750"/>
    <w:rsid w:val="0002592F"/>
    <w:rsid w:val="00025DD0"/>
    <w:rsid w:val="0002735F"/>
    <w:rsid w:val="000301A4"/>
    <w:rsid w:val="000316FE"/>
    <w:rsid w:val="00031AE7"/>
    <w:rsid w:val="00031F42"/>
    <w:rsid w:val="00032255"/>
    <w:rsid w:val="0003256A"/>
    <w:rsid w:val="00032B15"/>
    <w:rsid w:val="00033076"/>
    <w:rsid w:val="00033847"/>
    <w:rsid w:val="000347EB"/>
    <w:rsid w:val="00034B81"/>
    <w:rsid w:val="00035320"/>
    <w:rsid w:val="0003558C"/>
    <w:rsid w:val="000355D8"/>
    <w:rsid w:val="00035E2F"/>
    <w:rsid w:val="00036551"/>
    <w:rsid w:val="000365B0"/>
    <w:rsid w:val="0003673D"/>
    <w:rsid w:val="00037549"/>
    <w:rsid w:val="00037672"/>
    <w:rsid w:val="000407E9"/>
    <w:rsid w:val="000415C5"/>
    <w:rsid w:val="000418B4"/>
    <w:rsid w:val="000426A8"/>
    <w:rsid w:val="000426EA"/>
    <w:rsid w:val="000434B1"/>
    <w:rsid w:val="000437CD"/>
    <w:rsid w:val="00044029"/>
    <w:rsid w:val="00046EAC"/>
    <w:rsid w:val="000477EA"/>
    <w:rsid w:val="00050329"/>
    <w:rsid w:val="00050A2B"/>
    <w:rsid w:val="00050F21"/>
    <w:rsid w:val="00053B37"/>
    <w:rsid w:val="00053DC4"/>
    <w:rsid w:val="00054784"/>
    <w:rsid w:val="00054C30"/>
    <w:rsid w:val="00054D78"/>
    <w:rsid w:val="00054F64"/>
    <w:rsid w:val="0005572F"/>
    <w:rsid w:val="00057103"/>
    <w:rsid w:val="000578DC"/>
    <w:rsid w:val="00057D13"/>
    <w:rsid w:val="00061927"/>
    <w:rsid w:val="00061B42"/>
    <w:rsid w:val="0006245E"/>
    <w:rsid w:val="00062D58"/>
    <w:rsid w:val="00063C01"/>
    <w:rsid w:val="000640B5"/>
    <w:rsid w:val="000654D9"/>
    <w:rsid w:val="00065C93"/>
    <w:rsid w:val="00065F0A"/>
    <w:rsid w:val="000677BF"/>
    <w:rsid w:val="00067885"/>
    <w:rsid w:val="00067E50"/>
    <w:rsid w:val="0007009B"/>
    <w:rsid w:val="000703E1"/>
    <w:rsid w:val="00070444"/>
    <w:rsid w:val="0007082A"/>
    <w:rsid w:val="00070C09"/>
    <w:rsid w:val="00070DB4"/>
    <w:rsid w:val="00072AEF"/>
    <w:rsid w:val="00072C40"/>
    <w:rsid w:val="0007377C"/>
    <w:rsid w:val="00073E89"/>
    <w:rsid w:val="00074445"/>
    <w:rsid w:val="00074926"/>
    <w:rsid w:val="000753AE"/>
    <w:rsid w:val="0007662F"/>
    <w:rsid w:val="00077788"/>
    <w:rsid w:val="000777DB"/>
    <w:rsid w:val="00080479"/>
    <w:rsid w:val="00080C91"/>
    <w:rsid w:val="00081030"/>
    <w:rsid w:val="00081E58"/>
    <w:rsid w:val="00084056"/>
    <w:rsid w:val="00084085"/>
    <w:rsid w:val="00084154"/>
    <w:rsid w:val="000843AE"/>
    <w:rsid w:val="00084AD3"/>
    <w:rsid w:val="00085720"/>
    <w:rsid w:val="00085DDD"/>
    <w:rsid w:val="00086F23"/>
    <w:rsid w:val="000874F6"/>
    <w:rsid w:val="00090828"/>
    <w:rsid w:val="0009083C"/>
    <w:rsid w:val="00090A07"/>
    <w:rsid w:val="00090FA6"/>
    <w:rsid w:val="00090FD7"/>
    <w:rsid w:val="000925AC"/>
    <w:rsid w:val="000927A3"/>
    <w:rsid w:val="00092F8F"/>
    <w:rsid w:val="0009358F"/>
    <w:rsid w:val="00094007"/>
    <w:rsid w:val="00095189"/>
    <w:rsid w:val="0009559A"/>
    <w:rsid w:val="00095DEF"/>
    <w:rsid w:val="000967E2"/>
    <w:rsid w:val="00096C42"/>
    <w:rsid w:val="00097C86"/>
    <w:rsid w:val="000A0398"/>
    <w:rsid w:val="000A0D3C"/>
    <w:rsid w:val="000A2AF4"/>
    <w:rsid w:val="000A2CA5"/>
    <w:rsid w:val="000A3817"/>
    <w:rsid w:val="000A41FD"/>
    <w:rsid w:val="000A4A55"/>
    <w:rsid w:val="000A569B"/>
    <w:rsid w:val="000A7403"/>
    <w:rsid w:val="000A7D07"/>
    <w:rsid w:val="000B0A2E"/>
    <w:rsid w:val="000B0F51"/>
    <w:rsid w:val="000B1596"/>
    <w:rsid w:val="000B1B81"/>
    <w:rsid w:val="000B1DE8"/>
    <w:rsid w:val="000B283B"/>
    <w:rsid w:val="000B3303"/>
    <w:rsid w:val="000B3431"/>
    <w:rsid w:val="000B489F"/>
    <w:rsid w:val="000B4C5B"/>
    <w:rsid w:val="000B5039"/>
    <w:rsid w:val="000B55BE"/>
    <w:rsid w:val="000B5C3A"/>
    <w:rsid w:val="000B5E88"/>
    <w:rsid w:val="000B6027"/>
    <w:rsid w:val="000B6648"/>
    <w:rsid w:val="000B786B"/>
    <w:rsid w:val="000C079C"/>
    <w:rsid w:val="000C0EE5"/>
    <w:rsid w:val="000C13A1"/>
    <w:rsid w:val="000C260D"/>
    <w:rsid w:val="000C30AC"/>
    <w:rsid w:val="000C4579"/>
    <w:rsid w:val="000C463E"/>
    <w:rsid w:val="000C4E06"/>
    <w:rsid w:val="000C5056"/>
    <w:rsid w:val="000C52AB"/>
    <w:rsid w:val="000C5AA2"/>
    <w:rsid w:val="000C5C93"/>
    <w:rsid w:val="000C5D12"/>
    <w:rsid w:val="000C6F15"/>
    <w:rsid w:val="000C6F2A"/>
    <w:rsid w:val="000C7B08"/>
    <w:rsid w:val="000D1F8D"/>
    <w:rsid w:val="000D21F1"/>
    <w:rsid w:val="000D252E"/>
    <w:rsid w:val="000D2ED1"/>
    <w:rsid w:val="000D3548"/>
    <w:rsid w:val="000D3551"/>
    <w:rsid w:val="000D35B5"/>
    <w:rsid w:val="000D42D0"/>
    <w:rsid w:val="000D5211"/>
    <w:rsid w:val="000D5B51"/>
    <w:rsid w:val="000D65FC"/>
    <w:rsid w:val="000D6B45"/>
    <w:rsid w:val="000D6FB3"/>
    <w:rsid w:val="000D7254"/>
    <w:rsid w:val="000D753D"/>
    <w:rsid w:val="000D76E1"/>
    <w:rsid w:val="000D7823"/>
    <w:rsid w:val="000E0DB3"/>
    <w:rsid w:val="000E10A5"/>
    <w:rsid w:val="000E1407"/>
    <w:rsid w:val="000E1A63"/>
    <w:rsid w:val="000E33CF"/>
    <w:rsid w:val="000E4C3D"/>
    <w:rsid w:val="000E6849"/>
    <w:rsid w:val="000E72B9"/>
    <w:rsid w:val="000F05AB"/>
    <w:rsid w:val="000F091D"/>
    <w:rsid w:val="000F1B68"/>
    <w:rsid w:val="000F2179"/>
    <w:rsid w:val="000F278B"/>
    <w:rsid w:val="000F2955"/>
    <w:rsid w:val="000F2C67"/>
    <w:rsid w:val="000F40C0"/>
    <w:rsid w:val="000F45C8"/>
    <w:rsid w:val="000F4BBE"/>
    <w:rsid w:val="000F50C6"/>
    <w:rsid w:val="000F51EA"/>
    <w:rsid w:val="000F5AD4"/>
    <w:rsid w:val="000F64F2"/>
    <w:rsid w:val="000F7CF5"/>
    <w:rsid w:val="00100471"/>
    <w:rsid w:val="001019D6"/>
    <w:rsid w:val="00101E5F"/>
    <w:rsid w:val="001025D9"/>
    <w:rsid w:val="00102EBB"/>
    <w:rsid w:val="00104353"/>
    <w:rsid w:val="00105F22"/>
    <w:rsid w:val="001062D4"/>
    <w:rsid w:val="00106436"/>
    <w:rsid w:val="001066B1"/>
    <w:rsid w:val="00106EC5"/>
    <w:rsid w:val="00107DA6"/>
    <w:rsid w:val="001108D6"/>
    <w:rsid w:val="001109ED"/>
    <w:rsid w:val="00111268"/>
    <w:rsid w:val="00111C02"/>
    <w:rsid w:val="00111FF3"/>
    <w:rsid w:val="001128C3"/>
    <w:rsid w:val="00112A83"/>
    <w:rsid w:val="00113E49"/>
    <w:rsid w:val="00113E95"/>
    <w:rsid w:val="00114A01"/>
    <w:rsid w:val="00114CF3"/>
    <w:rsid w:val="00115CA3"/>
    <w:rsid w:val="00116F55"/>
    <w:rsid w:val="00116F93"/>
    <w:rsid w:val="00117445"/>
    <w:rsid w:val="00117B2C"/>
    <w:rsid w:val="0012046B"/>
    <w:rsid w:val="001209B5"/>
    <w:rsid w:val="00120E02"/>
    <w:rsid w:val="001214C7"/>
    <w:rsid w:val="00121F6B"/>
    <w:rsid w:val="001222A9"/>
    <w:rsid w:val="00122362"/>
    <w:rsid w:val="0012259E"/>
    <w:rsid w:val="001228C8"/>
    <w:rsid w:val="00122C0D"/>
    <w:rsid w:val="00122D4D"/>
    <w:rsid w:val="0012481C"/>
    <w:rsid w:val="001269FF"/>
    <w:rsid w:val="001303A1"/>
    <w:rsid w:val="001303B7"/>
    <w:rsid w:val="00131D1B"/>
    <w:rsid w:val="0013230C"/>
    <w:rsid w:val="00132B99"/>
    <w:rsid w:val="00132BF1"/>
    <w:rsid w:val="001330BB"/>
    <w:rsid w:val="00133492"/>
    <w:rsid w:val="001339C6"/>
    <w:rsid w:val="00134327"/>
    <w:rsid w:val="001347A9"/>
    <w:rsid w:val="00134D30"/>
    <w:rsid w:val="00135872"/>
    <w:rsid w:val="00136173"/>
    <w:rsid w:val="00136D1E"/>
    <w:rsid w:val="001377F8"/>
    <w:rsid w:val="00137F99"/>
    <w:rsid w:val="0014023E"/>
    <w:rsid w:val="0014084B"/>
    <w:rsid w:val="001440F2"/>
    <w:rsid w:val="00145318"/>
    <w:rsid w:val="001455A1"/>
    <w:rsid w:val="0014562A"/>
    <w:rsid w:val="00145AE6"/>
    <w:rsid w:val="00145F46"/>
    <w:rsid w:val="001460D9"/>
    <w:rsid w:val="001466BF"/>
    <w:rsid w:val="00146976"/>
    <w:rsid w:val="00146C44"/>
    <w:rsid w:val="001477E7"/>
    <w:rsid w:val="00147FD9"/>
    <w:rsid w:val="00150025"/>
    <w:rsid w:val="00150964"/>
    <w:rsid w:val="00150A27"/>
    <w:rsid w:val="00150F2A"/>
    <w:rsid w:val="00152078"/>
    <w:rsid w:val="001544B9"/>
    <w:rsid w:val="00154963"/>
    <w:rsid w:val="0015596B"/>
    <w:rsid w:val="00155D1F"/>
    <w:rsid w:val="001561B1"/>
    <w:rsid w:val="00157A5C"/>
    <w:rsid w:val="001600A3"/>
    <w:rsid w:val="0016132F"/>
    <w:rsid w:val="0016174D"/>
    <w:rsid w:val="00162B36"/>
    <w:rsid w:val="0016317C"/>
    <w:rsid w:val="00163829"/>
    <w:rsid w:val="00164DCB"/>
    <w:rsid w:val="00165642"/>
    <w:rsid w:val="00165B64"/>
    <w:rsid w:val="00165D82"/>
    <w:rsid w:val="00166C40"/>
    <w:rsid w:val="00166F24"/>
    <w:rsid w:val="00167BBE"/>
    <w:rsid w:val="00171489"/>
    <w:rsid w:val="001721A5"/>
    <w:rsid w:val="0017293A"/>
    <w:rsid w:val="00172A27"/>
    <w:rsid w:val="00172DEA"/>
    <w:rsid w:val="00172F37"/>
    <w:rsid w:val="00174134"/>
    <w:rsid w:val="001745A8"/>
    <w:rsid w:val="00175461"/>
    <w:rsid w:val="00176A64"/>
    <w:rsid w:val="00176B11"/>
    <w:rsid w:val="00176C6C"/>
    <w:rsid w:val="00177E29"/>
    <w:rsid w:val="00177F0D"/>
    <w:rsid w:val="00177F8E"/>
    <w:rsid w:val="00180176"/>
    <w:rsid w:val="001806AD"/>
    <w:rsid w:val="00181796"/>
    <w:rsid w:val="001818BD"/>
    <w:rsid w:val="0018204B"/>
    <w:rsid w:val="00182F9F"/>
    <w:rsid w:val="00184528"/>
    <w:rsid w:val="00184AF6"/>
    <w:rsid w:val="00184E18"/>
    <w:rsid w:val="001862DC"/>
    <w:rsid w:val="00186401"/>
    <w:rsid w:val="00186442"/>
    <w:rsid w:val="001866A1"/>
    <w:rsid w:val="001923EA"/>
    <w:rsid w:val="00192735"/>
    <w:rsid w:val="00192FBA"/>
    <w:rsid w:val="001930C8"/>
    <w:rsid w:val="00193696"/>
    <w:rsid w:val="00193B46"/>
    <w:rsid w:val="00193EC6"/>
    <w:rsid w:val="0019411E"/>
    <w:rsid w:val="001947FB"/>
    <w:rsid w:val="00195720"/>
    <w:rsid w:val="001958B9"/>
    <w:rsid w:val="00196CDD"/>
    <w:rsid w:val="001975C9"/>
    <w:rsid w:val="001A065E"/>
    <w:rsid w:val="001A189F"/>
    <w:rsid w:val="001A1CB9"/>
    <w:rsid w:val="001A293D"/>
    <w:rsid w:val="001A2A77"/>
    <w:rsid w:val="001A3908"/>
    <w:rsid w:val="001A3A5A"/>
    <w:rsid w:val="001A42B3"/>
    <w:rsid w:val="001A4457"/>
    <w:rsid w:val="001A5133"/>
    <w:rsid w:val="001A5A72"/>
    <w:rsid w:val="001A619F"/>
    <w:rsid w:val="001A6DCB"/>
    <w:rsid w:val="001A773A"/>
    <w:rsid w:val="001A77C4"/>
    <w:rsid w:val="001A7BE0"/>
    <w:rsid w:val="001B15C6"/>
    <w:rsid w:val="001B17D1"/>
    <w:rsid w:val="001B229E"/>
    <w:rsid w:val="001B2416"/>
    <w:rsid w:val="001B2B2F"/>
    <w:rsid w:val="001B2DEF"/>
    <w:rsid w:val="001B412E"/>
    <w:rsid w:val="001B4136"/>
    <w:rsid w:val="001B45EF"/>
    <w:rsid w:val="001B48E0"/>
    <w:rsid w:val="001B4D7D"/>
    <w:rsid w:val="001B5125"/>
    <w:rsid w:val="001B5B97"/>
    <w:rsid w:val="001B6AA4"/>
    <w:rsid w:val="001C023F"/>
    <w:rsid w:val="001C02D5"/>
    <w:rsid w:val="001C0500"/>
    <w:rsid w:val="001C059B"/>
    <w:rsid w:val="001C0B84"/>
    <w:rsid w:val="001C1192"/>
    <w:rsid w:val="001C1E56"/>
    <w:rsid w:val="001C28B3"/>
    <w:rsid w:val="001C2CF6"/>
    <w:rsid w:val="001C4064"/>
    <w:rsid w:val="001C49F4"/>
    <w:rsid w:val="001C71D7"/>
    <w:rsid w:val="001D0F66"/>
    <w:rsid w:val="001D125F"/>
    <w:rsid w:val="001D16DA"/>
    <w:rsid w:val="001D17FB"/>
    <w:rsid w:val="001D1AC7"/>
    <w:rsid w:val="001D2271"/>
    <w:rsid w:val="001D23D8"/>
    <w:rsid w:val="001D251C"/>
    <w:rsid w:val="001D3B3D"/>
    <w:rsid w:val="001D42FF"/>
    <w:rsid w:val="001D4381"/>
    <w:rsid w:val="001D47CF"/>
    <w:rsid w:val="001D4A3E"/>
    <w:rsid w:val="001D4B38"/>
    <w:rsid w:val="001D6225"/>
    <w:rsid w:val="001D6439"/>
    <w:rsid w:val="001D6D8C"/>
    <w:rsid w:val="001D7E9C"/>
    <w:rsid w:val="001E054D"/>
    <w:rsid w:val="001E0FAD"/>
    <w:rsid w:val="001E1308"/>
    <w:rsid w:val="001E1520"/>
    <w:rsid w:val="001E19DD"/>
    <w:rsid w:val="001E19F9"/>
    <w:rsid w:val="001E2C16"/>
    <w:rsid w:val="001E394D"/>
    <w:rsid w:val="001E39AA"/>
    <w:rsid w:val="001E3AAF"/>
    <w:rsid w:val="001E3D84"/>
    <w:rsid w:val="001E4F0E"/>
    <w:rsid w:val="001E594C"/>
    <w:rsid w:val="001E6BFA"/>
    <w:rsid w:val="001E6F59"/>
    <w:rsid w:val="001F07E9"/>
    <w:rsid w:val="001F0D0C"/>
    <w:rsid w:val="001F11F5"/>
    <w:rsid w:val="001F12EE"/>
    <w:rsid w:val="001F24B9"/>
    <w:rsid w:val="001F31AC"/>
    <w:rsid w:val="001F3815"/>
    <w:rsid w:val="001F3DB0"/>
    <w:rsid w:val="001F3E77"/>
    <w:rsid w:val="001F57A7"/>
    <w:rsid w:val="001F5A67"/>
    <w:rsid w:val="001F6B1B"/>
    <w:rsid w:val="001F7FF6"/>
    <w:rsid w:val="00200EBF"/>
    <w:rsid w:val="00203225"/>
    <w:rsid w:val="00204651"/>
    <w:rsid w:val="00204D75"/>
    <w:rsid w:val="002050D7"/>
    <w:rsid w:val="002051B0"/>
    <w:rsid w:val="00205225"/>
    <w:rsid w:val="00205413"/>
    <w:rsid w:val="00205AEF"/>
    <w:rsid w:val="00205D72"/>
    <w:rsid w:val="0020686F"/>
    <w:rsid w:val="002076AA"/>
    <w:rsid w:val="0021027A"/>
    <w:rsid w:val="00210879"/>
    <w:rsid w:val="00212A14"/>
    <w:rsid w:val="00214D7A"/>
    <w:rsid w:val="00214D88"/>
    <w:rsid w:val="00215286"/>
    <w:rsid w:val="00215906"/>
    <w:rsid w:val="002159C6"/>
    <w:rsid w:val="00215A2A"/>
    <w:rsid w:val="00215CE0"/>
    <w:rsid w:val="00215DA1"/>
    <w:rsid w:val="00216156"/>
    <w:rsid w:val="0021687E"/>
    <w:rsid w:val="002168E9"/>
    <w:rsid w:val="0021733C"/>
    <w:rsid w:val="002207FA"/>
    <w:rsid w:val="00221627"/>
    <w:rsid w:val="00221E51"/>
    <w:rsid w:val="00221F8E"/>
    <w:rsid w:val="00221FE1"/>
    <w:rsid w:val="002220C5"/>
    <w:rsid w:val="00222689"/>
    <w:rsid w:val="00223852"/>
    <w:rsid w:val="00223ADA"/>
    <w:rsid w:val="002244C0"/>
    <w:rsid w:val="002245B9"/>
    <w:rsid w:val="00224A21"/>
    <w:rsid w:val="00225099"/>
    <w:rsid w:val="002250CA"/>
    <w:rsid w:val="0022607A"/>
    <w:rsid w:val="00226152"/>
    <w:rsid w:val="00226456"/>
    <w:rsid w:val="002264D0"/>
    <w:rsid w:val="00226703"/>
    <w:rsid w:val="002270BE"/>
    <w:rsid w:val="00232211"/>
    <w:rsid w:val="002329B7"/>
    <w:rsid w:val="00232AD2"/>
    <w:rsid w:val="002330FC"/>
    <w:rsid w:val="002343A7"/>
    <w:rsid w:val="0023462F"/>
    <w:rsid w:val="00234BF0"/>
    <w:rsid w:val="00235CE8"/>
    <w:rsid w:val="002369E6"/>
    <w:rsid w:val="00237DCC"/>
    <w:rsid w:val="00237DD3"/>
    <w:rsid w:val="00237F17"/>
    <w:rsid w:val="0024052C"/>
    <w:rsid w:val="002410BB"/>
    <w:rsid w:val="0024122A"/>
    <w:rsid w:val="00241889"/>
    <w:rsid w:val="00243253"/>
    <w:rsid w:val="002432CD"/>
    <w:rsid w:val="002476F0"/>
    <w:rsid w:val="00247DA6"/>
    <w:rsid w:val="00251F81"/>
    <w:rsid w:val="0025253B"/>
    <w:rsid w:val="002526AC"/>
    <w:rsid w:val="00252997"/>
    <w:rsid w:val="002534E3"/>
    <w:rsid w:val="00253DE9"/>
    <w:rsid w:val="00254512"/>
    <w:rsid w:val="00254725"/>
    <w:rsid w:val="002555DD"/>
    <w:rsid w:val="002555E1"/>
    <w:rsid w:val="00255C94"/>
    <w:rsid w:val="00257031"/>
    <w:rsid w:val="00257CB4"/>
    <w:rsid w:val="002603C8"/>
    <w:rsid w:val="0026138C"/>
    <w:rsid w:val="00262012"/>
    <w:rsid w:val="00263DE8"/>
    <w:rsid w:val="0026466E"/>
    <w:rsid w:val="00264D7B"/>
    <w:rsid w:val="00264EBF"/>
    <w:rsid w:val="00265DD9"/>
    <w:rsid w:val="002667EA"/>
    <w:rsid w:val="00266ABA"/>
    <w:rsid w:val="00266C56"/>
    <w:rsid w:val="00267A99"/>
    <w:rsid w:val="002702C1"/>
    <w:rsid w:val="00271889"/>
    <w:rsid w:val="0027264B"/>
    <w:rsid w:val="002736CE"/>
    <w:rsid w:val="002740E8"/>
    <w:rsid w:val="002742E2"/>
    <w:rsid w:val="00274CFD"/>
    <w:rsid w:val="00274ED6"/>
    <w:rsid w:val="002752C6"/>
    <w:rsid w:val="002755EF"/>
    <w:rsid w:val="0027586B"/>
    <w:rsid w:val="00276BC6"/>
    <w:rsid w:val="00276C59"/>
    <w:rsid w:val="0027792D"/>
    <w:rsid w:val="00281357"/>
    <w:rsid w:val="00282A25"/>
    <w:rsid w:val="00282F72"/>
    <w:rsid w:val="002830A8"/>
    <w:rsid w:val="00283515"/>
    <w:rsid w:val="00283721"/>
    <w:rsid w:val="00283BAD"/>
    <w:rsid w:val="0028466A"/>
    <w:rsid w:val="002846E8"/>
    <w:rsid w:val="002849BD"/>
    <w:rsid w:val="00284F98"/>
    <w:rsid w:val="0028561D"/>
    <w:rsid w:val="00285FF7"/>
    <w:rsid w:val="002860F1"/>
    <w:rsid w:val="002907E7"/>
    <w:rsid w:val="00291148"/>
    <w:rsid w:val="00292278"/>
    <w:rsid w:val="00295263"/>
    <w:rsid w:val="0029555F"/>
    <w:rsid w:val="00295590"/>
    <w:rsid w:val="0029631A"/>
    <w:rsid w:val="00297BEE"/>
    <w:rsid w:val="002A05DC"/>
    <w:rsid w:val="002A0F20"/>
    <w:rsid w:val="002A104F"/>
    <w:rsid w:val="002A13A2"/>
    <w:rsid w:val="002A3274"/>
    <w:rsid w:val="002A32D9"/>
    <w:rsid w:val="002A3CF1"/>
    <w:rsid w:val="002A59B9"/>
    <w:rsid w:val="002A5DA4"/>
    <w:rsid w:val="002A5E8D"/>
    <w:rsid w:val="002A68CD"/>
    <w:rsid w:val="002A7905"/>
    <w:rsid w:val="002B13CB"/>
    <w:rsid w:val="002B14EA"/>
    <w:rsid w:val="002B1854"/>
    <w:rsid w:val="002B1A20"/>
    <w:rsid w:val="002B1A51"/>
    <w:rsid w:val="002B2AE1"/>
    <w:rsid w:val="002B3159"/>
    <w:rsid w:val="002B3A8F"/>
    <w:rsid w:val="002B3E1F"/>
    <w:rsid w:val="002B4646"/>
    <w:rsid w:val="002B5323"/>
    <w:rsid w:val="002B5324"/>
    <w:rsid w:val="002B5C76"/>
    <w:rsid w:val="002B5C91"/>
    <w:rsid w:val="002B5F4B"/>
    <w:rsid w:val="002B6603"/>
    <w:rsid w:val="002B6F5F"/>
    <w:rsid w:val="002C0828"/>
    <w:rsid w:val="002C124B"/>
    <w:rsid w:val="002C1A0B"/>
    <w:rsid w:val="002C33AF"/>
    <w:rsid w:val="002C370D"/>
    <w:rsid w:val="002C3B75"/>
    <w:rsid w:val="002C450A"/>
    <w:rsid w:val="002C47E9"/>
    <w:rsid w:val="002C4E26"/>
    <w:rsid w:val="002C4E6C"/>
    <w:rsid w:val="002C5092"/>
    <w:rsid w:val="002C54BF"/>
    <w:rsid w:val="002C5519"/>
    <w:rsid w:val="002C59CD"/>
    <w:rsid w:val="002C67E5"/>
    <w:rsid w:val="002C6D0D"/>
    <w:rsid w:val="002C6F5D"/>
    <w:rsid w:val="002D0639"/>
    <w:rsid w:val="002D08F4"/>
    <w:rsid w:val="002D097F"/>
    <w:rsid w:val="002D0D0C"/>
    <w:rsid w:val="002D1258"/>
    <w:rsid w:val="002D13E8"/>
    <w:rsid w:val="002D1976"/>
    <w:rsid w:val="002D2807"/>
    <w:rsid w:val="002D2D97"/>
    <w:rsid w:val="002D3BDF"/>
    <w:rsid w:val="002D426C"/>
    <w:rsid w:val="002D4721"/>
    <w:rsid w:val="002D472F"/>
    <w:rsid w:val="002D4803"/>
    <w:rsid w:val="002D6CDA"/>
    <w:rsid w:val="002D6EFD"/>
    <w:rsid w:val="002E0D86"/>
    <w:rsid w:val="002E16AE"/>
    <w:rsid w:val="002E1795"/>
    <w:rsid w:val="002E1871"/>
    <w:rsid w:val="002E1A25"/>
    <w:rsid w:val="002E1C38"/>
    <w:rsid w:val="002E2633"/>
    <w:rsid w:val="002E3521"/>
    <w:rsid w:val="002E37F4"/>
    <w:rsid w:val="002E4286"/>
    <w:rsid w:val="002E43A5"/>
    <w:rsid w:val="002E5665"/>
    <w:rsid w:val="002E6D4B"/>
    <w:rsid w:val="002E7318"/>
    <w:rsid w:val="002E7617"/>
    <w:rsid w:val="002E7C56"/>
    <w:rsid w:val="002E7D8E"/>
    <w:rsid w:val="002F0408"/>
    <w:rsid w:val="002F06FF"/>
    <w:rsid w:val="002F210E"/>
    <w:rsid w:val="002F27B6"/>
    <w:rsid w:val="002F2B50"/>
    <w:rsid w:val="002F3027"/>
    <w:rsid w:val="002F3CDE"/>
    <w:rsid w:val="002F405F"/>
    <w:rsid w:val="002F491B"/>
    <w:rsid w:val="002F4953"/>
    <w:rsid w:val="002F4ACB"/>
    <w:rsid w:val="002F7430"/>
    <w:rsid w:val="002F777B"/>
    <w:rsid w:val="00300191"/>
    <w:rsid w:val="00300414"/>
    <w:rsid w:val="00300578"/>
    <w:rsid w:val="00300AAF"/>
    <w:rsid w:val="00300F8D"/>
    <w:rsid w:val="00304FC4"/>
    <w:rsid w:val="003059F4"/>
    <w:rsid w:val="0030689E"/>
    <w:rsid w:val="003068D7"/>
    <w:rsid w:val="003071B2"/>
    <w:rsid w:val="00307599"/>
    <w:rsid w:val="003075B8"/>
    <w:rsid w:val="00310399"/>
    <w:rsid w:val="00310D8D"/>
    <w:rsid w:val="0031445A"/>
    <w:rsid w:val="003149F6"/>
    <w:rsid w:val="00315977"/>
    <w:rsid w:val="00316368"/>
    <w:rsid w:val="003174B4"/>
    <w:rsid w:val="0032047A"/>
    <w:rsid w:val="00320939"/>
    <w:rsid w:val="00320F9D"/>
    <w:rsid w:val="00321B76"/>
    <w:rsid w:val="00321BBE"/>
    <w:rsid w:val="00323813"/>
    <w:rsid w:val="00325077"/>
    <w:rsid w:val="0032515F"/>
    <w:rsid w:val="003253BE"/>
    <w:rsid w:val="00325C89"/>
    <w:rsid w:val="0032679D"/>
    <w:rsid w:val="00326D1D"/>
    <w:rsid w:val="00327D78"/>
    <w:rsid w:val="00327D80"/>
    <w:rsid w:val="00327DF9"/>
    <w:rsid w:val="00327E48"/>
    <w:rsid w:val="003302F7"/>
    <w:rsid w:val="00332437"/>
    <w:rsid w:val="00332A1C"/>
    <w:rsid w:val="00332A90"/>
    <w:rsid w:val="00332AB7"/>
    <w:rsid w:val="00332B68"/>
    <w:rsid w:val="00332EE0"/>
    <w:rsid w:val="00333E90"/>
    <w:rsid w:val="00334C69"/>
    <w:rsid w:val="00334E81"/>
    <w:rsid w:val="00335E6A"/>
    <w:rsid w:val="00337322"/>
    <w:rsid w:val="00340CDE"/>
    <w:rsid w:val="0034133E"/>
    <w:rsid w:val="003415A1"/>
    <w:rsid w:val="00341D9F"/>
    <w:rsid w:val="00342048"/>
    <w:rsid w:val="00342994"/>
    <w:rsid w:val="00342F54"/>
    <w:rsid w:val="00343735"/>
    <w:rsid w:val="00343803"/>
    <w:rsid w:val="00343F87"/>
    <w:rsid w:val="00345DCC"/>
    <w:rsid w:val="00346101"/>
    <w:rsid w:val="00346CAB"/>
    <w:rsid w:val="00347C24"/>
    <w:rsid w:val="00347EB1"/>
    <w:rsid w:val="003508F6"/>
    <w:rsid w:val="00351DDB"/>
    <w:rsid w:val="00351FF3"/>
    <w:rsid w:val="00352B90"/>
    <w:rsid w:val="00353231"/>
    <w:rsid w:val="00353F39"/>
    <w:rsid w:val="00354D6E"/>
    <w:rsid w:val="0035514C"/>
    <w:rsid w:val="00356084"/>
    <w:rsid w:val="00356522"/>
    <w:rsid w:val="003568C0"/>
    <w:rsid w:val="003569AC"/>
    <w:rsid w:val="00356E07"/>
    <w:rsid w:val="0036056A"/>
    <w:rsid w:val="003642D2"/>
    <w:rsid w:val="0036450C"/>
    <w:rsid w:val="00364574"/>
    <w:rsid w:val="0036468B"/>
    <w:rsid w:val="0036546D"/>
    <w:rsid w:val="003664C3"/>
    <w:rsid w:val="003675A1"/>
    <w:rsid w:val="0036773D"/>
    <w:rsid w:val="00367FEB"/>
    <w:rsid w:val="003711C1"/>
    <w:rsid w:val="00371BC3"/>
    <w:rsid w:val="00371CBE"/>
    <w:rsid w:val="00372C24"/>
    <w:rsid w:val="00372C38"/>
    <w:rsid w:val="00372C9E"/>
    <w:rsid w:val="0037332F"/>
    <w:rsid w:val="00373AD4"/>
    <w:rsid w:val="0037428F"/>
    <w:rsid w:val="00374539"/>
    <w:rsid w:val="003747BD"/>
    <w:rsid w:val="00374DD5"/>
    <w:rsid w:val="0037591D"/>
    <w:rsid w:val="00376E05"/>
    <w:rsid w:val="0037720A"/>
    <w:rsid w:val="003774FC"/>
    <w:rsid w:val="00377F5B"/>
    <w:rsid w:val="0038006D"/>
    <w:rsid w:val="00381EB9"/>
    <w:rsid w:val="0038206D"/>
    <w:rsid w:val="00383A81"/>
    <w:rsid w:val="00383D6A"/>
    <w:rsid w:val="00384693"/>
    <w:rsid w:val="00385DC1"/>
    <w:rsid w:val="00385F02"/>
    <w:rsid w:val="0038641A"/>
    <w:rsid w:val="00386DED"/>
    <w:rsid w:val="0038719C"/>
    <w:rsid w:val="00390E97"/>
    <w:rsid w:val="0039125A"/>
    <w:rsid w:val="003924AE"/>
    <w:rsid w:val="00392E76"/>
    <w:rsid w:val="00393BF6"/>
    <w:rsid w:val="00393F1C"/>
    <w:rsid w:val="00393F6E"/>
    <w:rsid w:val="00394276"/>
    <w:rsid w:val="00394BA4"/>
    <w:rsid w:val="0039597A"/>
    <w:rsid w:val="0039697D"/>
    <w:rsid w:val="00396DAE"/>
    <w:rsid w:val="0039750E"/>
    <w:rsid w:val="00397618"/>
    <w:rsid w:val="00397731"/>
    <w:rsid w:val="00397EA7"/>
    <w:rsid w:val="003A1350"/>
    <w:rsid w:val="003A17CE"/>
    <w:rsid w:val="003A1920"/>
    <w:rsid w:val="003A1A61"/>
    <w:rsid w:val="003A1B4C"/>
    <w:rsid w:val="003A2C3E"/>
    <w:rsid w:val="003A2D49"/>
    <w:rsid w:val="003A3487"/>
    <w:rsid w:val="003A5228"/>
    <w:rsid w:val="003A583A"/>
    <w:rsid w:val="003A591A"/>
    <w:rsid w:val="003A5F2B"/>
    <w:rsid w:val="003A722D"/>
    <w:rsid w:val="003B01FB"/>
    <w:rsid w:val="003B0557"/>
    <w:rsid w:val="003B0E02"/>
    <w:rsid w:val="003B0FDA"/>
    <w:rsid w:val="003B1656"/>
    <w:rsid w:val="003B231B"/>
    <w:rsid w:val="003B3157"/>
    <w:rsid w:val="003B35C3"/>
    <w:rsid w:val="003B3FC0"/>
    <w:rsid w:val="003B4786"/>
    <w:rsid w:val="003B56E2"/>
    <w:rsid w:val="003B5926"/>
    <w:rsid w:val="003B602A"/>
    <w:rsid w:val="003B71D0"/>
    <w:rsid w:val="003B7450"/>
    <w:rsid w:val="003B767F"/>
    <w:rsid w:val="003C2C74"/>
    <w:rsid w:val="003C3055"/>
    <w:rsid w:val="003C3EAC"/>
    <w:rsid w:val="003C4015"/>
    <w:rsid w:val="003C45E6"/>
    <w:rsid w:val="003C4A67"/>
    <w:rsid w:val="003C568C"/>
    <w:rsid w:val="003C56E9"/>
    <w:rsid w:val="003C63A8"/>
    <w:rsid w:val="003C6725"/>
    <w:rsid w:val="003C6F78"/>
    <w:rsid w:val="003C703E"/>
    <w:rsid w:val="003C7107"/>
    <w:rsid w:val="003D0D2D"/>
    <w:rsid w:val="003D16A1"/>
    <w:rsid w:val="003D16F1"/>
    <w:rsid w:val="003D1778"/>
    <w:rsid w:val="003D1B5E"/>
    <w:rsid w:val="003D28A5"/>
    <w:rsid w:val="003D30C9"/>
    <w:rsid w:val="003D472B"/>
    <w:rsid w:val="003D4F91"/>
    <w:rsid w:val="003D5092"/>
    <w:rsid w:val="003D6240"/>
    <w:rsid w:val="003D7A99"/>
    <w:rsid w:val="003D7D65"/>
    <w:rsid w:val="003E007A"/>
    <w:rsid w:val="003E09C9"/>
    <w:rsid w:val="003E0CFA"/>
    <w:rsid w:val="003E0D77"/>
    <w:rsid w:val="003E0DA2"/>
    <w:rsid w:val="003E11B1"/>
    <w:rsid w:val="003E11D8"/>
    <w:rsid w:val="003E1873"/>
    <w:rsid w:val="003E25CD"/>
    <w:rsid w:val="003E25DA"/>
    <w:rsid w:val="003E2BDE"/>
    <w:rsid w:val="003E2F13"/>
    <w:rsid w:val="003E3005"/>
    <w:rsid w:val="003E3092"/>
    <w:rsid w:val="003E386C"/>
    <w:rsid w:val="003E44BC"/>
    <w:rsid w:val="003E509B"/>
    <w:rsid w:val="003E60A8"/>
    <w:rsid w:val="003E6141"/>
    <w:rsid w:val="003E620D"/>
    <w:rsid w:val="003E64DA"/>
    <w:rsid w:val="003E6F86"/>
    <w:rsid w:val="003F111F"/>
    <w:rsid w:val="003F1441"/>
    <w:rsid w:val="003F1A7F"/>
    <w:rsid w:val="003F330F"/>
    <w:rsid w:val="003F36C9"/>
    <w:rsid w:val="003F43BB"/>
    <w:rsid w:val="003F441E"/>
    <w:rsid w:val="003F4A7C"/>
    <w:rsid w:val="003F5144"/>
    <w:rsid w:val="003F584D"/>
    <w:rsid w:val="003F5DC0"/>
    <w:rsid w:val="003F73B2"/>
    <w:rsid w:val="00400538"/>
    <w:rsid w:val="0040067C"/>
    <w:rsid w:val="004011E6"/>
    <w:rsid w:val="004012CF"/>
    <w:rsid w:val="0040177F"/>
    <w:rsid w:val="00401801"/>
    <w:rsid w:val="00402034"/>
    <w:rsid w:val="00402AC1"/>
    <w:rsid w:val="00402FB4"/>
    <w:rsid w:val="004032FE"/>
    <w:rsid w:val="00403576"/>
    <w:rsid w:val="00403A5F"/>
    <w:rsid w:val="00404A4F"/>
    <w:rsid w:val="00405414"/>
    <w:rsid w:val="004058F1"/>
    <w:rsid w:val="00405B47"/>
    <w:rsid w:val="00406172"/>
    <w:rsid w:val="004061C3"/>
    <w:rsid w:val="0040716B"/>
    <w:rsid w:val="00407301"/>
    <w:rsid w:val="00407985"/>
    <w:rsid w:val="00410BE9"/>
    <w:rsid w:val="004117D4"/>
    <w:rsid w:val="00411C6C"/>
    <w:rsid w:val="004133BA"/>
    <w:rsid w:val="00413638"/>
    <w:rsid w:val="00413B4D"/>
    <w:rsid w:val="00413ED4"/>
    <w:rsid w:val="00414B0A"/>
    <w:rsid w:val="00414B6F"/>
    <w:rsid w:val="00414DD6"/>
    <w:rsid w:val="004159EE"/>
    <w:rsid w:val="0041663C"/>
    <w:rsid w:val="00417D6B"/>
    <w:rsid w:val="00422EB1"/>
    <w:rsid w:val="00422F2E"/>
    <w:rsid w:val="0042336B"/>
    <w:rsid w:val="004237E6"/>
    <w:rsid w:val="00424573"/>
    <w:rsid w:val="00425258"/>
    <w:rsid w:val="0042547A"/>
    <w:rsid w:val="0042551A"/>
    <w:rsid w:val="00425FAD"/>
    <w:rsid w:val="00426C16"/>
    <w:rsid w:val="00426CCD"/>
    <w:rsid w:val="00426F2C"/>
    <w:rsid w:val="00426F58"/>
    <w:rsid w:val="0042720C"/>
    <w:rsid w:val="004307C5"/>
    <w:rsid w:val="00430AD8"/>
    <w:rsid w:val="00430E04"/>
    <w:rsid w:val="00433728"/>
    <w:rsid w:val="004338FB"/>
    <w:rsid w:val="00433CB6"/>
    <w:rsid w:val="00433E54"/>
    <w:rsid w:val="00434569"/>
    <w:rsid w:val="00434775"/>
    <w:rsid w:val="00436264"/>
    <w:rsid w:val="0043688D"/>
    <w:rsid w:val="0044016F"/>
    <w:rsid w:val="004403BC"/>
    <w:rsid w:val="00440C8E"/>
    <w:rsid w:val="004411B0"/>
    <w:rsid w:val="0044183D"/>
    <w:rsid w:val="00441862"/>
    <w:rsid w:val="004422F3"/>
    <w:rsid w:val="004424D6"/>
    <w:rsid w:val="004426D5"/>
    <w:rsid w:val="00442B64"/>
    <w:rsid w:val="00443AA8"/>
    <w:rsid w:val="00444AFB"/>
    <w:rsid w:val="00444F38"/>
    <w:rsid w:val="00445781"/>
    <w:rsid w:val="004468EF"/>
    <w:rsid w:val="00446F78"/>
    <w:rsid w:val="00450535"/>
    <w:rsid w:val="00450551"/>
    <w:rsid w:val="00450E73"/>
    <w:rsid w:val="00451333"/>
    <w:rsid w:val="00451AD8"/>
    <w:rsid w:val="00452BA8"/>
    <w:rsid w:val="00452C04"/>
    <w:rsid w:val="00452C3B"/>
    <w:rsid w:val="00453AEE"/>
    <w:rsid w:val="0045516B"/>
    <w:rsid w:val="00455783"/>
    <w:rsid w:val="00455C4E"/>
    <w:rsid w:val="00456C7D"/>
    <w:rsid w:val="00457C26"/>
    <w:rsid w:val="004607DA"/>
    <w:rsid w:val="00460A63"/>
    <w:rsid w:val="004611AB"/>
    <w:rsid w:val="00461886"/>
    <w:rsid w:val="004628A4"/>
    <w:rsid w:val="00462A0F"/>
    <w:rsid w:val="004645C9"/>
    <w:rsid w:val="00464BDB"/>
    <w:rsid w:val="00464FEE"/>
    <w:rsid w:val="004657E9"/>
    <w:rsid w:val="00465B8F"/>
    <w:rsid w:val="00465BC5"/>
    <w:rsid w:val="00467813"/>
    <w:rsid w:val="004704EB"/>
    <w:rsid w:val="00470B02"/>
    <w:rsid w:val="00470D29"/>
    <w:rsid w:val="004738CC"/>
    <w:rsid w:val="00473922"/>
    <w:rsid w:val="00473BE0"/>
    <w:rsid w:val="004742F2"/>
    <w:rsid w:val="004749A9"/>
    <w:rsid w:val="00474B56"/>
    <w:rsid w:val="00474B70"/>
    <w:rsid w:val="004750DD"/>
    <w:rsid w:val="0047645E"/>
    <w:rsid w:val="004779E1"/>
    <w:rsid w:val="00477CA6"/>
    <w:rsid w:val="00477F89"/>
    <w:rsid w:val="0048030D"/>
    <w:rsid w:val="004806FB"/>
    <w:rsid w:val="004807F6"/>
    <w:rsid w:val="00480C5C"/>
    <w:rsid w:val="00480F9B"/>
    <w:rsid w:val="004815B3"/>
    <w:rsid w:val="004815E1"/>
    <w:rsid w:val="004824CC"/>
    <w:rsid w:val="00482F64"/>
    <w:rsid w:val="00482FF5"/>
    <w:rsid w:val="0048533A"/>
    <w:rsid w:val="004861E3"/>
    <w:rsid w:val="004864EC"/>
    <w:rsid w:val="00486E1F"/>
    <w:rsid w:val="00487255"/>
    <w:rsid w:val="004877A9"/>
    <w:rsid w:val="00491E53"/>
    <w:rsid w:val="0049221E"/>
    <w:rsid w:val="0049286D"/>
    <w:rsid w:val="00492C5B"/>
    <w:rsid w:val="0049312E"/>
    <w:rsid w:val="004933BA"/>
    <w:rsid w:val="00493CD1"/>
    <w:rsid w:val="00494084"/>
    <w:rsid w:val="004944CE"/>
    <w:rsid w:val="00494BCE"/>
    <w:rsid w:val="0049512D"/>
    <w:rsid w:val="0049547D"/>
    <w:rsid w:val="004956F3"/>
    <w:rsid w:val="00496A42"/>
    <w:rsid w:val="00497B07"/>
    <w:rsid w:val="00497F32"/>
    <w:rsid w:val="004A0046"/>
    <w:rsid w:val="004A14A9"/>
    <w:rsid w:val="004A195A"/>
    <w:rsid w:val="004A2078"/>
    <w:rsid w:val="004A2959"/>
    <w:rsid w:val="004A3BE1"/>
    <w:rsid w:val="004A45C0"/>
    <w:rsid w:val="004A46D2"/>
    <w:rsid w:val="004A4B79"/>
    <w:rsid w:val="004A5051"/>
    <w:rsid w:val="004A7153"/>
    <w:rsid w:val="004A7948"/>
    <w:rsid w:val="004A7ADA"/>
    <w:rsid w:val="004B04F6"/>
    <w:rsid w:val="004B0657"/>
    <w:rsid w:val="004B134A"/>
    <w:rsid w:val="004B147C"/>
    <w:rsid w:val="004B256E"/>
    <w:rsid w:val="004B2D58"/>
    <w:rsid w:val="004B53F7"/>
    <w:rsid w:val="004B709E"/>
    <w:rsid w:val="004C0B6B"/>
    <w:rsid w:val="004C0FA9"/>
    <w:rsid w:val="004C1884"/>
    <w:rsid w:val="004C1AFC"/>
    <w:rsid w:val="004C3A86"/>
    <w:rsid w:val="004C52F8"/>
    <w:rsid w:val="004C552D"/>
    <w:rsid w:val="004C5E6B"/>
    <w:rsid w:val="004C6663"/>
    <w:rsid w:val="004C70BF"/>
    <w:rsid w:val="004D011B"/>
    <w:rsid w:val="004D0B12"/>
    <w:rsid w:val="004D0F84"/>
    <w:rsid w:val="004D1CA0"/>
    <w:rsid w:val="004D23CC"/>
    <w:rsid w:val="004D2C26"/>
    <w:rsid w:val="004D3D5B"/>
    <w:rsid w:val="004D51D6"/>
    <w:rsid w:val="004D62A4"/>
    <w:rsid w:val="004D646A"/>
    <w:rsid w:val="004D6CB7"/>
    <w:rsid w:val="004D7170"/>
    <w:rsid w:val="004D786D"/>
    <w:rsid w:val="004D79D7"/>
    <w:rsid w:val="004E104C"/>
    <w:rsid w:val="004E20A4"/>
    <w:rsid w:val="004E25EB"/>
    <w:rsid w:val="004E2FF4"/>
    <w:rsid w:val="004E37B5"/>
    <w:rsid w:val="004E3C1F"/>
    <w:rsid w:val="004E42F1"/>
    <w:rsid w:val="004E4817"/>
    <w:rsid w:val="004E5189"/>
    <w:rsid w:val="004E5C08"/>
    <w:rsid w:val="004E61F6"/>
    <w:rsid w:val="004E6478"/>
    <w:rsid w:val="004E670B"/>
    <w:rsid w:val="004E6B0B"/>
    <w:rsid w:val="004E755F"/>
    <w:rsid w:val="004E79D0"/>
    <w:rsid w:val="004F18EA"/>
    <w:rsid w:val="004F210D"/>
    <w:rsid w:val="004F22A2"/>
    <w:rsid w:val="004F2678"/>
    <w:rsid w:val="004F2D46"/>
    <w:rsid w:val="004F2DD9"/>
    <w:rsid w:val="004F3119"/>
    <w:rsid w:val="004F4D07"/>
    <w:rsid w:val="004F58BD"/>
    <w:rsid w:val="004F6936"/>
    <w:rsid w:val="004F6BD5"/>
    <w:rsid w:val="004F74C3"/>
    <w:rsid w:val="004F7829"/>
    <w:rsid w:val="004F7B94"/>
    <w:rsid w:val="00500041"/>
    <w:rsid w:val="00500514"/>
    <w:rsid w:val="005005B7"/>
    <w:rsid w:val="0050073E"/>
    <w:rsid w:val="0050188D"/>
    <w:rsid w:val="0050241E"/>
    <w:rsid w:val="0050246E"/>
    <w:rsid w:val="005024B2"/>
    <w:rsid w:val="005041DF"/>
    <w:rsid w:val="00504207"/>
    <w:rsid w:val="005049DE"/>
    <w:rsid w:val="00504DDF"/>
    <w:rsid w:val="00505034"/>
    <w:rsid w:val="0050543E"/>
    <w:rsid w:val="00505AFF"/>
    <w:rsid w:val="00505C40"/>
    <w:rsid w:val="00506BCC"/>
    <w:rsid w:val="00506D93"/>
    <w:rsid w:val="0050725D"/>
    <w:rsid w:val="00507D2E"/>
    <w:rsid w:val="005105D0"/>
    <w:rsid w:val="00510C3C"/>
    <w:rsid w:val="00510F3D"/>
    <w:rsid w:val="0051174F"/>
    <w:rsid w:val="00511B7C"/>
    <w:rsid w:val="005121F6"/>
    <w:rsid w:val="005124E1"/>
    <w:rsid w:val="005126A3"/>
    <w:rsid w:val="00512791"/>
    <w:rsid w:val="00512A0B"/>
    <w:rsid w:val="00513FA7"/>
    <w:rsid w:val="00513FCB"/>
    <w:rsid w:val="005145EB"/>
    <w:rsid w:val="005149CC"/>
    <w:rsid w:val="00514D8B"/>
    <w:rsid w:val="00515025"/>
    <w:rsid w:val="00515A9C"/>
    <w:rsid w:val="0051682C"/>
    <w:rsid w:val="00516A7C"/>
    <w:rsid w:val="00516B9F"/>
    <w:rsid w:val="00517675"/>
    <w:rsid w:val="0052022B"/>
    <w:rsid w:val="005202FC"/>
    <w:rsid w:val="0052138F"/>
    <w:rsid w:val="0052139B"/>
    <w:rsid w:val="00522BC7"/>
    <w:rsid w:val="00523E65"/>
    <w:rsid w:val="00523F75"/>
    <w:rsid w:val="00524397"/>
    <w:rsid w:val="00524716"/>
    <w:rsid w:val="0052524B"/>
    <w:rsid w:val="00525557"/>
    <w:rsid w:val="00525833"/>
    <w:rsid w:val="00526131"/>
    <w:rsid w:val="00526E2B"/>
    <w:rsid w:val="00527756"/>
    <w:rsid w:val="00527C26"/>
    <w:rsid w:val="00530C3D"/>
    <w:rsid w:val="0053229A"/>
    <w:rsid w:val="0053293B"/>
    <w:rsid w:val="005333D5"/>
    <w:rsid w:val="00533882"/>
    <w:rsid w:val="00533A0E"/>
    <w:rsid w:val="005341E3"/>
    <w:rsid w:val="0053428F"/>
    <w:rsid w:val="005348C6"/>
    <w:rsid w:val="00536682"/>
    <w:rsid w:val="005369A9"/>
    <w:rsid w:val="005374EA"/>
    <w:rsid w:val="00537BE1"/>
    <w:rsid w:val="005405A8"/>
    <w:rsid w:val="00540675"/>
    <w:rsid w:val="005413F9"/>
    <w:rsid w:val="005417DF"/>
    <w:rsid w:val="00541A86"/>
    <w:rsid w:val="0054235C"/>
    <w:rsid w:val="0054329C"/>
    <w:rsid w:val="00543AC4"/>
    <w:rsid w:val="00545811"/>
    <w:rsid w:val="00545BF2"/>
    <w:rsid w:val="0054791B"/>
    <w:rsid w:val="00550520"/>
    <w:rsid w:val="00551A81"/>
    <w:rsid w:val="0055250D"/>
    <w:rsid w:val="00552BFC"/>
    <w:rsid w:val="00554298"/>
    <w:rsid w:val="00555BE1"/>
    <w:rsid w:val="0055676A"/>
    <w:rsid w:val="005567C4"/>
    <w:rsid w:val="00557913"/>
    <w:rsid w:val="00560AC2"/>
    <w:rsid w:val="00560BB3"/>
    <w:rsid w:val="00561FA5"/>
    <w:rsid w:val="00562C60"/>
    <w:rsid w:val="00563644"/>
    <w:rsid w:val="00563773"/>
    <w:rsid w:val="00563AEA"/>
    <w:rsid w:val="00563DD0"/>
    <w:rsid w:val="00564141"/>
    <w:rsid w:val="005644A8"/>
    <w:rsid w:val="00564947"/>
    <w:rsid w:val="00564E1B"/>
    <w:rsid w:val="00564F4F"/>
    <w:rsid w:val="005652C8"/>
    <w:rsid w:val="0056698E"/>
    <w:rsid w:val="005676F1"/>
    <w:rsid w:val="00567723"/>
    <w:rsid w:val="00571233"/>
    <w:rsid w:val="0057130A"/>
    <w:rsid w:val="00571907"/>
    <w:rsid w:val="0057274D"/>
    <w:rsid w:val="00572924"/>
    <w:rsid w:val="00573BDF"/>
    <w:rsid w:val="00573CC6"/>
    <w:rsid w:val="00573E1E"/>
    <w:rsid w:val="005744A4"/>
    <w:rsid w:val="0057597C"/>
    <w:rsid w:val="0057633C"/>
    <w:rsid w:val="005766A1"/>
    <w:rsid w:val="0057676F"/>
    <w:rsid w:val="005769A2"/>
    <w:rsid w:val="00576C7A"/>
    <w:rsid w:val="005815B7"/>
    <w:rsid w:val="00581682"/>
    <w:rsid w:val="00581B14"/>
    <w:rsid w:val="00582382"/>
    <w:rsid w:val="00582527"/>
    <w:rsid w:val="00582D77"/>
    <w:rsid w:val="00582DFB"/>
    <w:rsid w:val="00583203"/>
    <w:rsid w:val="0058364F"/>
    <w:rsid w:val="005842AD"/>
    <w:rsid w:val="005849EA"/>
    <w:rsid w:val="00585B55"/>
    <w:rsid w:val="00586CF4"/>
    <w:rsid w:val="005877E5"/>
    <w:rsid w:val="0058790A"/>
    <w:rsid w:val="00590842"/>
    <w:rsid w:val="00590CDB"/>
    <w:rsid w:val="00591928"/>
    <w:rsid w:val="00591A75"/>
    <w:rsid w:val="00591D65"/>
    <w:rsid w:val="00591E4B"/>
    <w:rsid w:val="00592A43"/>
    <w:rsid w:val="00592E82"/>
    <w:rsid w:val="00593350"/>
    <w:rsid w:val="00593DC3"/>
    <w:rsid w:val="00593E6C"/>
    <w:rsid w:val="0059433A"/>
    <w:rsid w:val="00594ADE"/>
    <w:rsid w:val="00594ECA"/>
    <w:rsid w:val="00595505"/>
    <w:rsid w:val="005964EC"/>
    <w:rsid w:val="00596AB7"/>
    <w:rsid w:val="00596D1F"/>
    <w:rsid w:val="00597CA5"/>
    <w:rsid w:val="00597F04"/>
    <w:rsid w:val="005A1261"/>
    <w:rsid w:val="005A1DB5"/>
    <w:rsid w:val="005A406C"/>
    <w:rsid w:val="005A4C07"/>
    <w:rsid w:val="005A5DA5"/>
    <w:rsid w:val="005A5F3A"/>
    <w:rsid w:val="005A7422"/>
    <w:rsid w:val="005A76AD"/>
    <w:rsid w:val="005A79D6"/>
    <w:rsid w:val="005A7A28"/>
    <w:rsid w:val="005B1893"/>
    <w:rsid w:val="005B1C4C"/>
    <w:rsid w:val="005B1ECD"/>
    <w:rsid w:val="005B1FEB"/>
    <w:rsid w:val="005B32A0"/>
    <w:rsid w:val="005B3807"/>
    <w:rsid w:val="005B43D5"/>
    <w:rsid w:val="005B4D93"/>
    <w:rsid w:val="005B4F87"/>
    <w:rsid w:val="005B542D"/>
    <w:rsid w:val="005B5D9A"/>
    <w:rsid w:val="005B677B"/>
    <w:rsid w:val="005B7D9A"/>
    <w:rsid w:val="005C1A57"/>
    <w:rsid w:val="005C1C8B"/>
    <w:rsid w:val="005C2504"/>
    <w:rsid w:val="005C354E"/>
    <w:rsid w:val="005C41C5"/>
    <w:rsid w:val="005C4A62"/>
    <w:rsid w:val="005C5B5C"/>
    <w:rsid w:val="005D1036"/>
    <w:rsid w:val="005D1A4D"/>
    <w:rsid w:val="005D213D"/>
    <w:rsid w:val="005D22BA"/>
    <w:rsid w:val="005D2E9B"/>
    <w:rsid w:val="005D35F9"/>
    <w:rsid w:val="005D4D8B"/>
    <w:rsid w:val="005D5BBA"/>
    <w:rsid w:val="005D629A"/>
    <w:rsid w:val="005D7183"/>
    <w:rsid w:val="005E0730"/>
    <w:rsid w:val="005E0759"/>
    <w:rsid w:val="005E0A8E"/>
    <w:rsid w:val="005E124F"/>
    <w:rsid w:val="005E16C5"/>
    <w:rsid w:val="005E1D48"/>
    <w:rsid w:val="005E1FF0"/>
    <w:rsid w:val="005E26FB"/>
    <w:rsid w:val="005E2B27"/>
    <w:rsid w:val="005E2F31"/>
    <w:rsid w:val="005E3EB1"/>
    <w:rsid w:val="005E4400"/>
    <w:rsid w:val="005E46B3"/>
    <w:rsid w:val="005E5BDB"/>
    <w:rsid w:val="005E681E"/>
    <w:rsid w:val="005E776F"/>
    <w:rsid w:val="005F023F"/>
    <w:rsid w:val="005F089F"/>
    <w:rsid w:val="005F0A40"/>
    <w:rsid w:val="005F0A77"/>
    <w:rsid w:val="005F0C3A"/>
    <w:rsid w:val="005F133C"/>
    <w:rsid w:val="005F1E3B"/>
    <w:rsid w:val="005F2C7A"/>
    <w:rsid w:val="005F30C1"/>
    <w:rsid w:val="005F3260"/>
    <w:rsid w:val="005F4B8E"/>
    <w:rsid w:val="005F5DE4"/>
    <w:rsid w:val="006002F0"/>
    <w:rsid w:val="0060077C"/>
    <w:rsid w:val="00600CD2"/>
    <w:rsid w:val="00600F4E"/>
    <w:rsid w:val="00601949"/>
    <w:rsid w:val="00602468"/>
    <w:rsid w:val="006028D2"/>
    <w:rsid w:val="006042C2"/>
    <w:rsid w:val="00605D03"/>
    <w:rsid w:val="00605DDB"/>
    <w:rsid w:val="006061FB"/>
    <w:rsid w:val="00606EC0"/>
    <w:rsid w:val="00607AE9"/>
    <w:rsid w:val="00607B18"/>
    <w:rsid w:val="00610ED1"/>
    <w:rsid w:val="006112E4"/>
    <w:rsid w:val="006132AB"/>
    <w:rsid w:val="00613EE3"/>
    <w:rsid w:val="00613FE1"/>
    <w:rsid w:val="006140DF"/>
    <w:rsid w:val="00614799"/>
    <w:rsid w:val="00615DDA"/>
    <w:rsid w:val="006167A3"/>
    <w:rsid w:val="00616DC1"/>
    <w:rsid w:val="00616DC5"/>
    <w:rsid w:val="006176A7"/>
    <w:rsid w:val="00621192"/>
    <w:rsid w:val="00621B85"/>
    <w:rsid w:val="0062208C"/>
    <w:rsid w:val="0062287B"/>
    <w:rsid w:val="00623C2F"/>
    <w:rsid w:val="006242A7"/>
    <w:rsid w:val="0062464B"/>
    <w:rsid w:val="00624C04"/>
    <w:rsid w:val="00625243"/>
    <w:rsid w:val="00626A94"/>
    <w:rsid w:val="0062773D"/>
    <w:rsid w:val="0062794E"/>
    <w:rsid w:val="00627EF5"/>
    <w:rsid w:val="006303C8"/>
    <w:rsid w:val="0063110A"/>
    <w:rsid w:val="006313F2"/>
    <w:rsid w:val="006317AC"/>
    <w:rsid w:val="0063297F"/>
    <w:rsid w:val="006365A4"/>
    <w:rsid w:val="0063688A"/>
    <w:rsid w:val="00637C91"/>
    <w:rsid w:val="00640A23"/>
    <w:rsid w:val="00641343"/>
    <w:rsid w:val="0064225F"/>
    <w:rsid w:val="00642829"/>
    <w:rsid w:val="00643351"/>
    <w:rsid w:val="0064392A"/>
    <w:rsid w:val="00643B9A"/>
    <w:rsid w:val="006443D9"/>
    <w:rsid w:val="00645167"/>
    <w:rsid w:val="0064565A"/>
    <w:rsid w:val="0064598C"/>
    <w:rsid w:val="00645DD1"/>
    <w:rsid w:val="006467D5"/>
    <w:rsid w:val="00646A04"/>
    <w:rsid w:val="00646E99"/>
    <w:rsid w:val="0064702D"/>
    <w:rsid w:val="006474D1"/>
    <w:rsid w:val="0065141B"/>
    <w:rsid w:val="006517CD"/>
    <w:rsid w:val="00651C3D"/>
    <w:rsid w:val="00651CC5"/>
    <w:rsid w:val="00651DFD"/>
    <w:rsid w:val="00652286"/>
    <w:rsid w:val="006527CC"/>
    <w:rsid w:val="00652B48"/>
    <w:rsid w:val="00653B6F"/>
    <w:rsid w:val="006549EA"/>
    <w:rsid w:val="00654A45"/>
    <w:rsid w:val="00654D9A"/>
    <w:rsid w:val="0065537B"/>
    <w:rsid w:val="006555FB"/>
    <w:rsid w:val="0065672C"/>
    <w:rsid w:val="0065683F"/>
    <w:rsid w:val="00656D03"/>
    <w:rsid w:val="0066042B"/>
    <w:rsid w:val="00660879"/>
    <w:rsid w:val="00661519"/>
    <w:rsid w:val="0066358C"/>
    <w:rsid w:val="006650EA"/>
    <w:rsid w:val="00665508"/>
    <w:rsid w:val="0066562C"/>
    <w:rsid w:val="00666821"/>
    <w:rsid w:val="00670350"/>
    <w:rsid w:val="00670441"/>
    <w:rsid w:val="006718E5"/>
    <w:rsid w:val="00671A10"/>
    <w:rsid w:val="00672CE5"/>
    <w:rsid w:val="00673818"/>
    <w:rsid w:val="00674103"/>
    <w:rsid w:val="00674F36"/>
    <w:rsid w:val="00674FDB"/>
    <w:rsid w:val="006753A4"/>
    <w:rsid w:val="00675DD9"/>
    <w:rsid w:val="006760D5"/>
    <w:rsid w:val="0067643C"/>
    <w:rsid w:val="00676C1D"/>
    <w:rsid w:val="00677D27"/>
    <w:rsid w:val="006800ED"/>
    <w:rsid w:val="0068077A"/>
    <w:rsid w:val="006809F0"/>
    <w:rsid w:val="006811ED"/>
    <w:rsid w:val="00682E75"/>
    <w:rsid w:val="006839A4"/>
    <w:rsid w:val="00683D0B"/>
    <w:rsid w:val="00683F5A"/>
    <w:rsid w:val="006852BB"/>
    <w:rsid w:val="00685501"/>
    <w:rsid w:val="0068641B"/>
    <w:rsid w:val="006869E5"/>
    <w:rsid w:val="0068752F"/>
    <w:rsid w:val="00691169"/>
    <w:rsid w:val="00691E55"/>
    <w:rsid w:val="006926BE"/>
    <w:rsid w:val="006940C2"/>
    <w:rsid w:val="00694876"/>
    <w:rsid w:val="00694A8B"/>
    <w:rsid w:val="00695AB4"/>
    <w:rsid w:val="00696FBE"/>
    <w:rsid w:val="00697459"/>
    <w:rsid w:val="006A00F4"/>
    <w:rsid w:val="006A06AA"/>
    <w:rsid w:val="006A096B"/>
    <w:rsid w:val="006A0E29"/>
    <w:rsid w:val="006A17EA"/>
    <w:rsid w:val="006A1A5D"/>
    <w:rsid w:val="006A2A92"/>
    <w:rsid w:val="006A3519"/>
    <w:rsid w:val="006A3DB7"/>
    <w:rsid w:val="006A47CB"/>
    <w:rsid w:val="006A4B16"/>
    <w:rsid w:val="006A6079"/>
    <w:rsid w:val="006A635E"/>
    <w:rsid w:val="006A731A"/>
    <w:rsid w:val="006A7A44"/>
    <w:rsid w:val="006B01AE"/>
    <w:rsid w:val="006B03ED"/>
    <w:rsid w:val="006B0C7E"/>
    <w:rsid w:val="006B107F"/>
    <w:rsid w:val="006B1EE4"/>
    <w:rsid w:val="006B21C1"/>
    <w:rsid w:val="006B228B"/>
    <w:rsid w:val="006B33D4"/>
    <w:rsid w:val="006B348A"/>
    <w:rsid w:val="006B3D38"/>
    <w:rsid w:val="006B4003"/>
    <w:rsid w:val="006B4F96"/>
    <w:rsid w:val="006B5455"/>
    <w:rsid w:val="006B5BD6"/>
    <w:rsid w:val="006B5EB2"/>
    <w:rsid w:val="006B6FB8"/>
    <w:rsid w:val="006B7D30"/>
    <w:rsid w:val="006C19F2"/>
    <w:rsid w:val="006C2D93"/>
    <w:rsid w:val="006C358C"/>
    <w:rsid w:val="006C67A1"/>
    <w:rsid w:val="006C6A2A"/>
    <w:rsid w:val="006C7369"/>
    <w:rsid w:val="006C7791"/>
    <w:rsid w:val="006D09F4"/>
    <w:rsid w:val="006D0F43"/>
    <w:rsid w:val="006D1589"/>
    <w:rsid w:val="006D1920"/>
    <w:rsid w:val="006D1D2D"/>
    <w:rsid w:val="006D1E11"/>
    <w:rsid w:val="006D28F9"/>
    <w:rsid w:val="006D397D"/>
    <w:rsid w:val="006D39B2"/>
    <w:rsid w:val="006D4276"/>
    <w:rsid w:val="006D56C0"/>
    <w:rsid w:val="006D5950"/>
    <w:rsid w:val="006D59D2"/>
    <w:rsid w:val="006D5B0B"/>
    <w:rsid w:val="006D60CB"/>
    <w:rsid w:val="006D63F3"/>
    <w:rsid w:val="006D65DB"/>
    <w:rsid w:val="006D660E"/>
    <w:rsid w:val="006D6652"/>
    <w:rsid w:val="006D69E1"/>
    <w:rsid w:val="006E11DD"/>
    <w:rsid w:val="006E247D"/>
    <w:rsid w:val="006E3AB9"/>
    <w:rsid w:val="006E4199"/>
    <w:rsid w:val="006E437C"/>
    <w:rsid w:val="006E471D"/>
    <w:rsid w:val="006E4760"/>
    <w:rsid w:val="006E4B23"/>
    <w:rsid w:val="006E5E47"/>
    <w:rsid w:val="006E6CD5"/>
    <w:rsid w:val="006E736B"/>
    <w:rsid w:val="006E7915"/>
    <w:rsid w:val="006F1775"/>
    <w:rsid w:val="006F21DF"/>
    <w:rsid w:val="006F22B4"/>
    <w:rsid w:val="006F37F6"/>
    <w:rsid w:val="006F453E"/>
    <w:rsid w:val="006F5759"/>
    <w:rsid w:val="006F5A07"/>
    <w:rsid w:val="006F5B3E"/>
    <w:rsid w:val="006F6BA4"/>
    <w:rsid w:val="006F7FC3"/>
    <w:rsid w:val="0070125B"/>
    <w:rsid w:val="0070154F"/>
    <w:rsid w:val="007017D0"/>
    <w:rsid w:val="00701BA5"/>
    <w:rsid w:val="00704820"/>
    <w:rsid w:val="00705B58"/>
    <w:rsid w:val="00705FD1"/>
    <w:rsid w:val="0071018D"/>
    <w:rsid w:val="00710221"/>
    <w:rsid w:val="007115CF"/>
    <w:rsid w:val="00711643"/>
    <w:rsid w:val="00713B15"/>
    <w:rsid w:val="00713B1F"/>
    <w:rsid w:val="007141D0"/>
    <w:rsid w:val="0071475A"/>
    <w:rsid w:val="007148D1"/>
    <w:rsid w:val="00714A05"/>
    <w:rsid w:val="00715E70"/>
    <w:rsid w:val="0071655A"/>
    <w:rsid w:val="0071695D"/>
    <w:rsid w:val="00716CC1"/>
    <w:rsid w:val="00720F38"/>
    <w:rsid w:val="00721D3C"/>
    <w:rsid w:val="00721ECB"/>
    <w:rsid w:val="007229DE"/>
    <w:rsid w:val="00722B44"/>
    <w:rsid w:val="00722C6D"/>
    <w:rsid w:val="00722D39"/>
    <w:rsid w:val="00723857"/>
    <w:rsid w:val="00723AA7"/>
    <w:rsid w:val="00724BD6"/>
    <w:rsid w:val="007251B2"/>
    <w:rsid w:val="0072575D"/>
    <w:rsid w:val="007273C5"/>
    <w:rsid w:val="00727695"/>
    <w:rsid w:val="00727D4F"/>
    <w:rsid w:val="00730C6C"/>
    <w:rsid w:val="007323BE"/>
    <w:rsid w:val="0073255F"/>
    <w:rsid w:val="0073274E"/>
    <w:rsid w:val="007335DB"/>
    <w:rsid w:val="0073384E"/>
    <w:rsid w:val="0073499B"/>
    <w:rsid w:val="007355ED"/>
    <w:rsid w:val="007365F0"/>
    <w:rsid w:val="00736977"/>
    <w:rsid w:val="00737307"/>
    <w:rsid w:val="00737C7A"/>
    <w:rsid w:val="00740015"/>
    <w:rsid w:val="0074049E"/>
    <w:rsid w:val="00740B05"/>
    <w:rsid w:val="00741AF0"/>
    <w:rsid w:val="00742860"/>
    <w:rsid w:val="0074408D"/>
    <w:rsid w:val="007447A5"/>
    <w:rsid w:val="007455C8"/>
    <w:rsid w:val="00745C76"/>
    <w:rsid w:val="00745DEE"/>
    <w:rsid w:val="0074667D"/>
    <w:rsid w:val="0074697F"/>
    <w:rsid w:val="007469D3"/>
    <w:rsid w:val="00747DC1"/>
    <w:rsid w:val="00747E7D"/>
    <w:rsid w:val="007507CF"/>
    <w:rsid w:val="00751DDE"/>
    <w:rsid w:val="007523B9"/>
    <w:rsid w:val="00752749"/>
    <w:rsid w:val="00753B60"/>
    <w:rsid w:val="007542C5"/>
    <w:rsid w:val="0075437C"/>
    <w:rsid w:val="00754686"/>
    <w:rsid w:val="007546CD"/>
    <w:rsid w:val="00754F5E"/>
    <w:rsid w:val="007550FE"/>
    <w:rsid w:val="00755721"/>
    <w:rsid w:val="00755CE8"/>
    <w:rsid w:val="00756C7E"/>
    <w:rsid w:val="00757755"/>
    <w:rsid w:val="007604FB"/>
    <w:rsid w:val="007615EF"/>
    <w:rsid w:val="00761B67"/>
    <w:rsid w:val="00763440"/>
    <w:rsid w:val="0076352C"/>
    <w:rsid w:val="00763A24"/>
    <w:rsid w:val="00763A72"/>
    <w:rsid w:val="00764005"/>
    <w:rsid w:val="00764085"/>
    <w:rsid w:val="0076426C"/>
    <w:rsid w:val="00765CAD"/>
    <w:rsid w:val="00767B35"/>
    <w:rsid w:val="00767DCD"/>
    <w:rsid w:val="007709C0"/>
    <w:rsid w:val="00770D17"/>
    <w:rsid w:val="00771293"/>
    <w:rsid w:val="00771628"/>
    <w:rsid w:val="00771A5F"/>
    <w:rsid w:val="00771BA2"/>
    <w:rsid w:val="00771DA3"/>
    <w:rsid w:val="00771EA2"/>
    <w:rsid w:val="00772D14"/>
    <w:rsid w:val="0077354E"/>
    <w:rsid w:val="00773F60"/>
    <w:rsid w:val="007741CD"/>
    <w:rsid w:val="0077429A"/>
    <w:rsid w:val="00774F6C"/>
    <w:rsid w:val="0077524C"/>
    <w:rsid w:val="00776715"/>
    <w:rsid w:val="007769F4"/>
    <w:rsid w:val="0077768C"/>
    <w:rsid w:val="0078006D"/>
    <w:rsid w:val="0078014D"/>
    <w:rsid w:val="00780869"/>
    <w:rsid w:val="00780CCE"/>
    <w:rsid w:val="00781B0F"/>
    <w:rsid w:val="00781EF3"/>
    <w:rsid w:val="00781F85"/>
    <w:rsid w:val="007838FC"/>
    <w:rsid w:val="00784124"/>
    <w:rsid w:val="00784656"/>
    <w:rsid w:val="00785BF3"/>
    <w:rsid w:val="0078684A"/>
    <w:rsid w:val="007900FE"/>
    <w:rsid w:val="00792302"/>
    <w:rsid w:val="007927E7"/>
    <w:rsid w:val="00792AA5"/>
    <w:rsid w:val="0079367B"/>
    <w:rsid w:val="00793EF6"/>
    <w:rsid w:val="00794924"/>
    <w:rsid w:val="00794CA6"/>
    <w:rsid w:val="00794E88"/>
    <w:rsid w:val="00795DD9"/>
    <w:rsid w:val="007971B7"/>
    <w:rsid w:val="007976FB"/>
    <w:rsid w:val="007A0946"/>
    <w:rsid w:val="007A127B"/>
    <w:rsid w:val="007A1D72"/>
    <w:rsid w:val="007A21C9"/>
    <w:rsid w:val="007A26FC"/>
    <w:rsid w:val="007A27C0"/>
    <w:rsid w:val="007A4182"/>
    <w:rsid w:val="007A41E1"/>
    <w:rsid w:val="007A5158"/>
    <w:rsid w:val="007A5201"/>
    <w:rsid w:val="007A5774"/>
    <w:rsid w:val="007A6735"/>
    <w:rsid w:val="007A68F1"/>
    <w:rsid w:val="007A7185"/>
    <w:rsid w:val="007A7788"/>
    <w:rsid w:val="007A7C4D"/>
    <w:rsid w:val="007B0214"/>
    <w:rsid w:val="007B130C"/>
    <w:rsid w:val="007B1B5B"/>
    <w:rsid w:val="007B1BAB"/>
    <w:rsid w:val="007B1CD2"/>
    <w:rsid w:val="007B2DB4"/>
    <w:rsid w:val="007B2F45"/>
    <w:rsid w:val="007B361F"/>
    <w:rsid w:val="007B4EDE"/>
    <w:rsid w:val="007B70C3"/>
    <w:rsid w:val="007B75D5"/>
    <w:rsid w:val="007B773F"/>
    <w:rsid w:val="007B7D6F"/>
    <w:rsid w:val="007C0323"/>
    <w:rsid w:val="007C0459"/>
    <w:rsid w:val="007C04BC"/>
    <w:rsid w:val="007C285A"/>
    <w:rsid w:val="007C3562"/>
    <w:rsid w:val="007C359F"/>
    <w:rsid w:val="007C3F2A"/>
    <w:rsid w:val="007C3F4B"/>
    <w:rsid w:val="007C4164"/>
    <w:rsid w:val="007C4426"/>
    <w:rsid w:val="007C4F86"/>
    <w:rsid w:val="007C52EA"/>
    <w:rsid w:val="007C5BDF"/>
    <w:rsid w:val="007C6F61"/>
    <w:rsid w:val="007C798B"/>
    <w:rsid w:val="007D05E5"/>
    <w:rsid w:val="007D0FAC"/>
    <w:rsid w:val="007D1168"/>
    <w:rsid w:val="007D1CD7"/>
    <w:rsid w:val="007D1DF1"/>
    <w:rsid w:val="007D1FEE"/>
    <w:rsid w:val="007D20DA"/>
    <w:rsid w:val="007D2FD3"/>
    <w:rsid w:val="007D3E26"/>
    <w:rsid w:val="007D4408"/>
    <w:rsid w:val="007D4C7D"/>
    <w:rsid w:val="007D642C"/>
    <w:rsid w:val="007D7C6D"/>
    <w:rsid w:val="007E05AE"/>
    <w:rsid w:val="007E0641"/>
    <w:rsid w:val="007E06CE"/>
    <w:rsid w:val="007E07F2"/>
    <w:rsid w:val="007E167D"/>
    <w:rsid w:val="007E1889"/>
    <w:rsid w:val="007E1E2C"/>
    <w:rsid w:val="007E39CD"/>
    <w:rsid w:val="007E4F78"/>
    <w:rsid w:val="007E543C"/>
    <w:rsid w:val="007E5C7A"/>
    <w:rsid w:val="007E5E39"/>
    <w:rsid w:val="007E5E79"/>
    <w:rsid w:val="007E5F69"/>
    <w:rsid w:val="007E62E4"/>
    <w:rsid w:val="007E6EA8"/>
    <w:rsid w:val="007F0040"/>
    <w:rsid w:val="007F03F4"/>
    <w:rsid w:val="007F0C1B"/>
    <w:rsid w:val="007F2B15"/>
    <w:rsid w:val="007F2E3D"/>
    <w:rsid w:val="007F40B6"/>
    <w:rsid w:val="007F452E"/>
    <w:rsid w:val="007F4693"/>
    <w:rsid w:val="007F4D6C"/>
    <w:rsid w:val="007F4DE0"/>
    <w:rsid w:val="007F5766"/>
    <w:rsid w:val="007F5E0C"/>
    <w:rsid w:val="007F6734"/>
    <w:rsid w:val="007F67A4"/>
    <w:rsid w:val="007F6A71"/>
    <w:rsid w:val="007F7A1B"/>
    <w:rsid w:val="007F7F4F"/>
    <w:rsid w:val="008002AC"/>
    <w:rsid w:val="00801475"/>
    <w:rsid w:val="00801612"/>
    <w:rsid w:val="00802911"/>
    <w:rsid w:val="00802A8E"/>
    <w:rsid w:val="00804EE8"/>
    <w:rsid w:val="008051E8"/>
    <w:rsid w:val="00805A06"/>
    <w:rsid w:val="00805FEB"/>
    <w:rsid w:val="00806091"/>
    <w:rsid w:val="008063C5"/>
    <w:rsid w:val="00806654"/>
    <w:rsid w:val="008066D8"/>
    <w:rsid w:val="00806F52"/>
    <w:rsid w:val="008073AD"/>
    <w:rsid w:val="00807A31"/>
    <w:rsid w:val="00807F1F"/>
    <w:rsid w:val="0081099F"/>
    <w:rsid w:val="008115E4"/>
    <w:rsid w:val="008118B2"/>
    <w:rsid w:val="00812040"/>
    <w:rsid w:val="008124E6"/>
    <w:rsid w:val="00812E21"/>
    <w:rsid w:val="00813374"/>
    <w:rsid w:val="008136A3"/>
    <w:rsid w:val="008140D1"/>
    <w:rsid w:val="00814A2E"/>
    <w:rsid w:val="00814AD7"/>
    <w:rsid w:val="00814B26"/>
    <w:rsid w:val="00815897"/>
    <w:rsid w:val="00815F0A"/>
    <w:rsid w:val="00816752"/>
    <w:rsid w:val="00817191"/>
    <w:rsid w:val="00817CC9"/>
    <w:rsid w:val="00817D58"/>
    <w:rsid w:val="008201A2"/>
    <w:rsid w:val="008204D1"/>
    <w:rsid w:val="0082072D"/>
    <w:rsid w:val="0082081D"/>
    <w:rsid w:val="00820F5A"/>
    <w:rsid w:val="008217AF"/>
    <w:rsid w:val="008228F2"/>
    <w:rsid w:val="00822D67"/>
    <w:rsid w:val="00824092"/>
    <w:rsid w:val="00824CA2"/>
    <w:rsid w:val="008254D6"/>
    <w:rsid w:val="00826C9F"/>
    <w:rsid w:val="008275BB"/>
    <w:rsid w:val="00827796"/>
    <w:rsid w:val="00827CA0"/>
    <w:rsid w:val="00827EE3"/>
    <w:rsid w:val="00830143"/>
    <w:rsid w:val="00830720"/>
    <w:rsid w:val="00830881"/>
    <w:rsid w:val="0083108D"/>
    <w:rsid w:val="008311E8"/>
    <w:rsid w:val="008314F9"/>
    <w:rsid w:val="0083198D"/>
    <w:rsid w:val="00833CAA"/>
    <w:rsid w:val="0083432A"/>
    <w:rsid w:val="00835326"/>
    <w:rsid w:val="008353C5"/>
    <w:rsid w:val="008367B9"/>
    <w:rsid w:val="00836AC6"/>
    <w:rsid w:val="00836E15"/>
    <w:rsid w:val="00842F85"/>
    <w:rsid w:val="008431C6"/>
    <w:rsid w:val="008433BB"/>
    <w:rsid w:val="0084589D"/>
    <w:rsid w:val="00845BB4"/>
    <w:rsid w:val="008462EA"/>
    <w:rsid w:val="00846FD1"/>
    <w:rsid w:val="0084747B"/>
    <w:rsid w:val="00847C0F"/>
    <w:rsid w:val="00847F2D"/>
    <w:rsid w:val="008508B0"/>
    <w:rsid w:val="00850CDE"/>
    <w:rsid w:val="00851009"/>
    <w:rsid w:val="008512D0"/>
    <w:rsid w:val="00851DA3"/>
    <w:rsid w:val="00851EC3"/>
    <w:rsid w:val="00851EFD"/>
    <w:rsid w:val="00852749"/>
    <w:rsid w:val="00854127"/>
    <w:rsid w:val="008541BD"/>
    <w:rsid w:val="008545CF"/>
    <w:rsid w:val="00854CE0"/>
    <w:rsid w:val="00855467"/>
    <w:rsid w:val="008558F4"/>
    <w:rsid w:val="00855C82"/>
    <w:rsid w:val="008569D1"/>
    <w:rsid w:val="00857C40"/>
    <w:rsid w:val="00857D66"/>
    <w:rsid w:val="008604B3"/>
    <w:rsid w:val="0086065E"/>
    <w:rsid w:val="00860D44"/>
    <w:rsid w:val="00861777"/>
    <w:rsid w:val="008618BC"/>
    <w:rsid w:val="008625CF"/>
    <w:rsid w:val="008631A9"/>
    <w:rsid w:val="00863B1E"/>
    <w:rsid w:val="008644AA"/>
    <w:rsid w:val="00870412"/>
    <w:rsid w:val="00870EBE"/>
    <w:rsid w:val="00871286"/>
    <w:rsid w:val="0087150C"/>
    <w:rsid w:val="008726C1"/>
    <w:rsid w:val="0087317F"/>
    <w:rsid w:val="00873244"/>
    <w:rsid w:val="00873488"/>
    <w:rsid w:val="00873586"/>
    <w:rsid w:val="00873B3D"/>
    <w:rsid w:val="008746CF"/>
    <w:rsid w:val="008747AD"/>
    <w:rsid w:val="00874831"/>
    <w:rsid w:val="00874861"/>
    <w:rsid w:val="00874E4B"/>
    <w:rsid w:val="00876C60"/>
    <w:rsid w:val="008771F7"/>
    <w:rsid w:val="00877736"/>
    <w:rsid w:val="00880506"/>
    <w:rsid w:val="0088114A"/>
    <w:rsid w:val="00881758"/>
    <w:rsid w:val="0088237B"/>
    <w:rsid w:val="00882739"/>
    <w:rsid w:val="00882863"/>
    <w:rsid w:val="00882DFA"/>
    <w:rsid w:val="0088455D"/>
    <w:rsid w:val="008854F6"/>
    <w:rsid w:val="0088566E"/>
    <w:rsid w:val="00887615"/>
    <w:rsid w:val="00890576"/>
    <w:rsid w:val="00890A11"/>
    <w:rsid w:val="008917C1"/>
    <w:rsid w:val="008919D8"/>
    <w:rsid w:val="00891C32"/>
    <w:rsid w:val="00891D81"/>
    <w:rsid w:val="00892F7A"/>
    <w:rsid w:val="0089332E"/>
    <w:rsid w:val="00893463"/>
    <w:rsid w:val="00893902"/>
    <w:rsid w:val="0089431F"/>
    <w:rsid w:val="00894DCB"/>
    <w:rsid w:val="00894FBE"/>
    <w:rsid w:val="00895B32"/>
    <w:rsid w:val="00896169"/>
    <w:rsid w:val="00896671"/>
    <w:rsid w:val="00897794"/>
    <w:rsid w:val="008A01F2"/>
    <w:rsid w:val="008A040A"/>
    <w:rsid w:val="008A059F"/>
    <w:rsid w:val="008A08FF"/>
    <w:rsid w:val="008A0B95"/>
    <w:rsid w:val="008A1712"/>
    <w:rsid w:val="008A1CF2"/>
    <w:rsid w:val="008A2622"/>
    <w:rsid w:val="008A2CAD"/>
    <w:rsid w:val="008A3788"/>
    <w:rsid w:val="008A4912"/>
    <w:rsid w:val="008A5076"/>
    <w:rsid w:val="008A5662"/>
    <w:rsid w:val="008A599D"/>
    <w:rsid w:val="008A5FF2"/>
    <w:rsid w:val="008A6928"/>
    <w:rsid w:val="008A6976"/>
    <w:rsid w:val="008A6CBE"/>
    <w:rsid w:val="008A7EE8"/>
    <w:rsid w:val="008B0DE7"/>
    <w:rsid w:val="008B1D38"/>
    <w:rsid w:val="008B280C"/>
    <w:rsid w:val="008B304A"/>
    <w:rsid w:val="008B32A3"/>
    <w:rsid w:val="008B3F1E"/>
    <w:rsid w:val="008B3FF9"/>
    <w:rsid w:val="008B4641"/>
    <w:rsid w:val="008B4D28"/>
    <w:rsid w:val="008B5D25"/>
    <w:rsid w:val="008B6294"/>
    <w:rsid w:val="008B66EC"/>
    <w:rsid w:val="008B6D7A"/>
    <w:rsid w:val="008C0197"/>
    <w:rsid w:val="008C07D0"/>
    <w:rsid w:val="008C0B7B"/>
    <w:rsid w:val="008C0BCA"/>
    <w:rsid w:val="008C1FAE"/>
    <w:rsid w:val="008C2336"/>
    <w:rsid w:val="008C26A4"/>
    <w:rsid w:val="008C29B2"/>
    <w:rsid w:val="008C34A9"/>
    <w:rsid w:val="008C466B"/>
    <w:rsid w:val="008C5F6D"/>
    <w:rsid w:val="008C6044"/>
    <w:rsid w:val="008C69AD"/>
    <w:rsid w:val="008C69BC"/>
    <w:rsid w:val="008C741E"/>
    <w:rsid w:val="008D081C"/>
    <w:rsid w:val="008D08A4"/>
    <w:rsid w:val="008D0F5E"/>
    <w:rsid w:val="008D17DD"/>
    <w:rsid w:val="008D1D11"/>
    <w:rsid w:val="008D479D"/>
    <w:rsid w:val="008D5278"/>
    <w:rsid w:val="008D556A"/>
    <w:rsid w:val="008D5696"/>
    <w:rsid w:val="008D619E"/>
    <w:rsid w:val="008D6BAE"/>
    <w:rsid w:val="008E0D8F"/>
    <w:rsid w:val="008E128C"/>
    <w:rsid w:val="008E1C9B"/>
    <w:rsid w:val="008E3B40"/>
    <w:rsid w:val="008E55CE"/>
    <w:rsid w:val="008E582E"/>
    <w:rsid w:val="008E5B5E"/>
    <w:rsid w:val="008E5CC0"/>
    <w:rsid w:val="008E601C"/>
    <w:rsid w:val="008E626D"/>
    <w:rsid w:val="008E6D20"/>
    <w:rsid w:val="008E7CA7"/>
    <w:rsid w:val="008F156B"/>
    <w:rsid w:val="008F191F"/>
    <w:rsid w:val="008F2F0A"/>
    <w:rsid w:val="008F451D"/>
    <w:rsid w:val="008F55C0"/>
    <w:rsid w:val="008F5751"/>
    <w:rsid w:val="008F5B0A"/>
    <w:rsid w:val="008F5EA9"/>
    <w:rsid w:val="008F7C2F"/>
    <w:rsid w:val="00900130"/>
    <w:rsid w:val="00901034"/>
    <w:rsid w:val="00901911"/>
    <w:rsid w:val="009024D7"/>
    <w:rsid w:val="00902520"/>
    <w:rsid w:val="0090254C"/>
    <w:rsid w:val="00902D20"/>
    <w:rsid w:val="0090353E"/>
    <w:rsid w:val="009038F1"/>
    <w:rsid w:val="0090392D"/>
    <w:rsid w:val="00904D25"/>
    <w:rsid w:val="00904E04"/>
    <w:rsid w:val="00906450"/>
    <w:rsid w:val="009067E6"/>
    <w:rsid w:val="0090683B"/>
    <w:rsid w:val="009076C9"/>
    <w:rsid w:val="00907B80"/>
    <w:rsid w:val="00910CA5"/>
    <w:rsid w:val="00911060"/>
    <w:rsid w:val="00911600"/>
    <w:rsid w:val="00912854"/>
    <w:rsid w:val="0091461A"/>
    <w:rsid w:val="00915CE8"/>
    <w:rsid w:val="00916EA1"/>
    <w:rsid w:val="00916F91"/>
    <w:rsid w:val="00917CA5"/>
    <w:rsid w:val="00920A83"/>
    <w:rsid w:val="009211E9"/>
    <w:rsid w:val="00922085"/>
    <w:rsid w:val="0092319C"/>
    <w:rsid w:val="00923573"/>
    <w:rsid w:val="00923DBC"/>
    <w:rsid w:val="00924D5F"/>
    <w:rsid w:val="00925380"/>
    <w:rsid w:val="0092582C"/>
    <w:rsid w:val="00925B41"/>
    <w:rsid w:val="00925F6E"/>
    <w:rsid w:val="00926535"/>
    <w:rsid w:val="00926FCA"/>
    <w:rsid w:val="00927160"/>
    <w:rsid w:val="00927A54"/>
    <w:rsid w:val="00930568"/>
    <w:rsid w:val="0093094E"/>
    <w:rsid w:val="00931BB4"/>
    <w:rsid w:val="00932284"/>
    <w:rsid w:val="00933AF5"/>
    <w:rsid w:val="009340F4"/>
    <w:rsid w:val="00934291"/>
    <w:rsid w:val="00935AF5"/>
    <w:rsid w:val="00935B3A"/>
    <w:rsid w:val="00935EDE"/>
    <w:rsid w:val="00940C05"/>
    <w:rsid w:val="00943C7C"/>
    <w:rsid w:val="00944CB1"/>
    <w:rsid w:val="00944D93"/>
    <w:rsid w:val="00945B2A"/>
    <w:rsid w:val="00945B4F"/>
    <w:rsid w:val="00945CD7"/>
    <w:rsid w:val="00947CCD"/>
    <w:rsid w:val="00951737"/>
    <w:rsid w:val="009518B9"/>
    <w:rsid w:val="00952047"/>
    <w:rsid w:val="0095238C"/>
    <w:rsid w:val="00953021"/>
    <w:rsid w:val="009539D5"/>
    <w:rsid w:val="00954802"/>
    <w:rsid w:val="00954D23"/>
    <w:rsid w:val="00954E10"/>
    <w:rsid w:val="00955131"/>
    <w:rsid w:val="0095513A"/>
    <w:rsid w:val="00955DC9"/>
    <w:rsid w:val="00956987"/>
    <w:rsid w:val="00956C0F"/>
    <w:rsid w:val="00957CE3"/>
    <w:rsid w:val="009615C0"/>
    <w:rsid w:val="009619FB"/>
    <w:rsid w:val="00961F6F"/>
    <w:rsid w:val="009629F7"/>
    <w:rsid w:val="00963200"/>
    <w:rsid w:val="009634A8"/>
    <w:rsid w:val="00963865"/>
    <w:rsid w:val="009647DE"/>
    <w:rsid w:val="00965BE5"/>
    <w:rsid w:val="00965D6D"/>
    <w:rsid w:val="0096721E"/>
    <w:rsid w:val="00967499"/>
    <w:rsid w:val="009678C6"/>
    <w:rsid w:val="009678CB"/>
    <w:rsid w:val="00967A83"/>
    <w:rsid w:val="009700F7"/>
    <w:rsid w:val="00970D15"/>
    <w:rsid w:val="009717E4"/>
    <w:rsid w:val="00971861"/>
    <w:rsid w:val="00972C4F"/>
    <w:rsid w:val="00972FF8"/>
    <w:rsid w:val="00973322"/>
    <w:rsid w:val="00973B22"/>
    <w:rsid w:val="00974B5C"/>
    <w:rsid w:val="009763A2"/>
    <w:rsid w:val="009768B0"/>
    <w:rsid w:val="00980C1A"/>
    <w:rsid w:val="0098119B"/>
    <w:rsid w:val="0098352A"/>
    <w:rsid w:val="00983D97"/>
    <w:rsid w:val="0098535F"/>
    <w:rsid w:val="00985785"/>
    <w:rsid w:val="0098653C"/>
    <w:rsid w:val="009865D9"/>
    <w:rsid w:val="00986D20"/>
    <w:rsid w:val="00986D76"/>
    <w:rsid w:val="00987FCC"/>
    <w:rsid w:val="0099002E"/>
    <w:rsid w:val="00990FCB"/>
    <w:rsid w:val="00992ADB"/>
    <w:rsid w:val="009937FC"/>
    <w:rsid w:val="00995784"/>
    <w:rsid w:val="009957F2"/>
    <w:rsid w:val="0099634D"/>
    <w:rsid w:val="00997714"/>
    <w:rsid w:val="009A0F2E"/>
    <w:rsid w:val="009A23D1"/>
    <w:rsid w:val="009A2623"/>
    <w:rsid w:val="009A26B4"/>
    <w:rsid w:val="009A2CA5"/>
    <w:rsid w:val="009A36C9"/>
    <w:rsid w:val="009A3DD0"/>
    <w:rsid w:val="009A3F4F"/>
    <w:rsid w:val="009A41E9"/>
    <w:rsid w:val="009A4CB1"/>
    <w:rsid w:val="009A5014"/>
    <w:rsid w:val="009A58D9"/>
    <w:rsid w:val="009A66B4"/>
    <w:rsid w:val="009A6F18"/>
    <w:rsid w:val="009A7031"/>
    <w:rsid w:val="009B0EBD"/>
    <w:rsid w:val="009B1893"/>
    <w:rsid w:val="009B24A4"/>
    <w:rsid w:val="009B2621"/>
    <w:rsid w:val="009B34E3"/>
    <w:rsid w:val="009B38A3"/>
    <w:rsid w:val="009B44FE"/>
    <w:rsid w:val="009B50F1"/>
    <w:rsid w:val="009B5107"/>
    <w:rsid w:val="009B6D2B"/>
    <w:rsid w:val="009C0007"/>
    <w:rsid w:val="009C0924"/>
    <w:rsid w:val="009C19DC"/>
    <w:rsid w:val="009C2A4C"/>
    <w:rsid w:val="009C2CB0"/>
    <w:rsid w:val="009C3B75"/>
    <w:rsid w:val="009C3E28"/>
    <w:rsid w:val="009C4064"/>
    <w:rsid w:val="009C434F"/>
    <w:rsid w:val="009C43F3"/>
    <w:rsid w:val="009C4AC7"/>
    <w:rsid w:val="009C4CE2"/>
    <w:rsid w:val="009C4FC4"/>
    <w:rsid w:val="009C6373"/>
    <w:rsid w:val="009C7251"/>
    <w:rsid w:val="009C7D4B"/>
    <w:rsid w:val="009D037F"/>
    <w:rsid w:val="009D076A"/>
    <w:rsid w:val="009D108B"/>
    <w:rsid w:val="009D194F"/>
    <w:rsid w:val="009D1F58"/>
    <w:rsid w:val="009D24BE"/>
    <w:rsid w:val="009D2930"/>
    <w:rsid w:val="009D2AE5"/>
    <w:rsid w:val="009D2CF3"/>
    <w:rsid w:val="009D37F9"/>
    <w:rsid w:val="009D3921"/>
    <w:rsid w:val="009D3AE8"/>
    <w:rsid w:val="009D3CBC"/>
    <w:rsid w:val="009D47EF"/>
    <w:rsid w:val="009D4AD8"/>
    <w:rsid w:val="009D4B56"/>
    <w:rsid w:val="009D4C64"/>
    <w:rsid w:val="009D5C59"/>
    <w:rsid w:val="009D6620"/>
    <w:rsid w:val="009D6C33"/>
    <w:rsid w:val="009D7108"/>
    <w:rsid w:val="009D7273"/>
    <w:rsid w:val="009D773E"/>
    <w:rsid w:val="009D7C39"/>
    <w:rsid w:val="009E0981"/>
    <w:rsid w:val="009E0D44"/>
    <w:rsid w:val="009E114C"/>
    <w:rsid w:val="009E1D97"/>
    <w:rsid w:val="009E230A"/>
    <w:rsid w:val="009E30CC"/>
    <w:rsid w:val="009E3C16"/>
    <w:rsid w:val="009E4D7C"/>
    <w:rsid w:val="009E4DD0"/>
    <w:rsid w:val="009E5F04"/>
    <w:rsid w:val="009E7B97"/>
    <w:rsid w:val="009F00F6"/>
    <w:rsid w:val="009F09F3"/>
    <w:rsid w:val="009F0C4E"/>
    <w:rsid w:val="009F0E84"/>
    <w:rsid w:val="009F130C"/>
    <w:rsid w:val="009F2D54"/>
    <w:rsid w:val="009F2F92"/>
    <w:rsid w:val="009F3395"/>
    <w:rsid w:val="009F4163"/>
    <w:rsid w:val="009F50DD"/>
    <w:rsid w:val="009F6DDF"/>
    <w:rsid w:val="009F70B8"/>
    <w:rsid w:val="009F7CF5"/>
    <w:rsid w:val="00A009B3"/>
    <w:rsid w:val="00A00C92"/>
    <w:rsid w:val="00A02691"/>
    <w:rsid w:val="00A03272"/>
    <w:rsid w:val="00A06AAB"/>
    <w:rsid w:val="00A07553"/>
    <w:rsid w:val="00A0758E"/>
    <w:rsid w:val="00A0783C"/>
    <w:rsid w:val="00A078F5"/>
    <w:rsid w:val="00A07E1C"/>
    <w:rsid w:val="00A11238"/>
    <w:rsid w:val="00A11F67"/>
    <w:rsid w:val="00A11FCC"/>
    <w:rsid w:val="00A12825"/>
    <w:rsid w:val="00A12B21"/>
    <w:rsid w:val="00A12E36"/>
    <w:rsid w:val="00A13146"/>
    <w:rsid w:val="00A132BF"/>
    <w:rsid w:val="00A13B08"/>
    <w:rsid w:val="00A1481C"/>
    <w:rsid w:val="00A14FA1"/>
    <w:rsid w:val="00A15384"/>
    <w:rsid w:val="00A157A3"/>
    <w:rsid w:val="00A16207"/>
    <w:rsid w:val="00A163EA"/>
    <w:rsid w:val="00A1667D"/>
    <w:rsid w:val="00A16E2A"/>
    <w:rsid w:val="00A16F5C"/>
    <w:rsid w:val="00A174BA"/>
    <w:rsid w:val="00A174EE"/>
    <w:rsid w:val="00A17AD1"/>
    <w:rsid w:val="00A17E5E"/>
    <w:rsid w:val="00A200BF"/>
    <w:rsid w:val="00A202E6"/>
    <w:rsid w:val="00A2039D"/>
    <w:rsid w:val="00A20D9D"/>
    <w:rsid w:val="00A20EE7"/>
    <w:rsid w:val="00A2144C"/>
    <w:rsid w:val="00A21F65"/>
    <w:rsid w:val="00A2227D"/>
    <w:rsid w:val="00A2279E"/>
    <w:rsid w:val="00A23769"/>
    <w:rsid w:val="00A24EAE"/>
    <w:rsid w:val="00A25699"/>
    <w:rsid w:val="00A25723"/>
    <w:rsid w:val="00A25A39"/>
    <w:rsid w:val="00A25A8C"/>
    <w:rsid w:val="00A27BCB"/>
    <w:rsid w:val="00A304D0"/>
    <w:rsid w:val="00A30D97"/>
    <w:rsid w:val="00A30ED2"/>
    <w:rsid w:val="00A333A6"/>
    <w:rsid w:val="00A33719"/>
    <w:rsid w:val="00A345A7"/>
    <w:rsid w:val="00A34D0F"/>
    <w:rsid w:val="00A35B59"/>
    <w:rsid w:val="00A368B3"/>
    <w:rsid w:val="00A36E07"/>
    <w:rsid w:val="00A371EB"/>
    <w:rsid w:val="00A37219"/>
    <w:rsid w:val="00A37D42"/>
    <w:rsid w:val="00A40544"/>
    <w:rsid w:val="00A4170D"/>
    <w:rsid w:val="00A41E6F"/>
    <w:rsid w:val="00A425C1"/>
    <w:rsid w:val="00A431C0"/>
    <w:rsid w:val="00A43902"/>
    <w:rsid w:val="00A4422F"/>
    <w:rsid w:val="00A4426D"/>
    <w:rsid w:val="00A44B7E"/>
    <w:rsid w:val="00A44FDF"/>
    <w:rsid w:val="00A450A8"/>
    <w:rsid w:val="00A479D5"/>
    <w:rsid w:val="00A51227"/>
    <w:rsid w:val="00A517BD"/>
    <w:rsid w:val="00A52410"/>
    <w:rsid w:val="00A5330A"/>
    <w:rsid w:val="00A533C0"/>
    <w:rsid w:val="00A53BE0"/>
    <w:rsid w:val="00A55075"/>
    <w:rsid w:val="00A55120"/>
    <w:rsid w:val="00A55398"/>
    <w:rsid w:val="00A553A4"/>
    <w:rsid w:val="00A56520"/>
    <w:rsid w:val="00A567CB"/>
    <w:rsid w:val="00A6117A"/>
    <w:rsid w:val="00A6177D"/>
    <w:rsid w:val="00A61C04"/>
    <w:rsid w:val="00A6310C"/>
    <w:rsid w:val="00A63A13"/>
    <w:rsid w:val="00A643F8"/>
    <w:rsid w:val="00A65DD1"/>
    <w:rsid w:val="00A663EC"/>
    <w:rsid w:val="00A66E0B"/>
    <w:rsid w:val="00A6760C"/>
    <w:rsid w:val="00A70557"/>
    <w:rsid w:val="00A70C31"/>
    <w:rsid w:val="00A7104B"/>
    <w:rsid w:val="00A712CE"/>
    <w:rsid w:val="00A71DB5"/>
    <w:rsid w:val="00A729A6"/>
    <w:rsid w:val="00A7346F"/>
    <w:rsid w:val="00A74A86"/>
    <w:rsid w:val="00A74C39"/>
    <w:rsid w:val="00A75615"/>
    <w:rsid w:val="00A75C0F"/>
    <w:rsid w:val="00A760F3"/>
    <w:rsid w:val="00A7624A"/>
    <w:rsid w:val="00A776C2"/>
    <w:rsid w:val="00A776D1"/>
    <w:rsid w:val="00A77E09"/>
    <w:rsid w:val="00A816AF"/>
    <w:rsid w:val="00A81720"/>
    <w:rsid w:val="00A818E4"/>
    <w:rsid w:val="00A8243B"/>
    <w:rsid w:val="00A82B19"/>
    <w:rsid w:val="00A83C04"/>
    <w:rsid w:val="00A83ED1"/>
    <w:rsid w:val="00A84DE6"/>
    <w:rsid w:val="00A87111"/>
    <w:rsid w:val="00A87CA6"/>
    <w:rsid w:val="00A9066E"/>
    <w:rsid w:val="00A90D15"/>
    <w:rsid w:val="00A90F3D"/>
    <w:rsid w:val="00A920A7"/>
    <w:rsid w:val="00A92878"/>
    <w:rsid w:val="00A929A2"/>
    <w:rsid w:val="00A92FE9"/>
    <w:rsid w:val="00A93DF7"/>
    <w:rsid w:val="00A94383"/>
    <w:rsid w:val="00A9448C"/>
    <w:rsid w:val="00A94545"/>
    <w:rsid w:val="00A95A20"/>
    <w:rsid w:val="00A96F32"/>
    <w:rsid w:val="00A9721B"/>
    <w:rsid w:val="00A97BAE"/>
    <w:rsid w:val="00AA0635"/>
    <w:rsid w:val="00AA068C"/>
    <w:rsid w:val="00AA11B7"/>
    <w:rsid w:val="00AA1412"/>
    <w:rsid w:val="00AA162D"/>
    <w:rsid w:val="00AA21C4"/>
    <w:rsid w:val="00AA2A40"/>
    <w:rsid w:val="00AA3282"/>
    <w:rsid w:val="00AA36ED"/>
    <w:rsid w:val="00AA37B5"/>
    <w:rsid w:val="00AA4737"/>
    <w:rsid w:val="00AA4899"/>
    <w:rsid w:val="00AA48B5"/>
    <w:rsid w:val="00AA5262"/>
    <w:rsid w:val="00AA57D4"/>
    <w:rsid w:val="00AA5AB7"/>
    <w:rsid w:val="00AA5BE3"/>
    <w:rsid w:val="00AA77EF"/>
    <w:rsid w:val="00AB019A"/>
    <w:rsid w:val="00AB22B2"/>
    <w:rsid w:val="00AB2877"/>
    <w:rsid w:val="00AB2F06"/>
    <w:rsid w:val="00AB315D"/>
    <w:rsid w:val="00AB3E95"/>
    <w:rsid w:val="00AB54CB"/>
    <w:rsid w:val="00AB661C"/>
    <w:rsid w:val="00AB689D"/>
    <w:rsid w:val="00AB7491"/>
    <w:rsid w:val="00AB74F9"/>
    <w:rsid w:val="00AB7519"/>
    <w:rsid w:val="00AB79CA"/>
    <w:rsid w:val="00AB7A7D"/>
    <w:rsid w:val="00AC0487"/>
    <w:rsid w:val="00AC1797"/>
    <w:rsid w:val="00AC1E7A"/>
    <w:rsid w:val="00AC2E6C"/>
    <w:rsid w:val="00AC4151"/>
    <w:rsid w:val="00AC5372"/>
    <w:rsid w:val="00AC656E"/>
    <w:rsid w:val="00AC6B32"/>
    <w:rsid w:val="00AC6CEC"/>
    <w:rsid w:val="00AC6EAD"/>
    <w:rsid w:val="00AC7C73"/>
    <w:rsid w:val="00AC7F3E"/>
    <w:rsid w:val="00AD0375"/>
    <w:rsid w:val="00AD26BD"/>
    <w:rsid w:val="00AD3A05"/>
    <w:rsid w:val="00AD3AEF"/>
    <w:rsid w:val="00AD3E0E"/>
    <w:rsid w:val="00AD50F5"/>
    <w:rsid w:val="00AD554D"/>
    <w:rsid w:val="00AD59DD"/>
    <w:rsid w:val="00AD6676"/>
    <w:rsid w:val="00AD67B3"/>
    <w:rsid w:val="00AD68C8"/>
    <w:rsid w:val="00AD6C4D"/>
    <w:rsid w:val="00AE0021"/>
    <w:rsid w:val="00AE0E2E"/>
    <w:rsid w:val="00AE1841"/>
    <w:rsid w:val="00AE2231"/>
    <w:rsid w:val="00AE2348"/>
    <w:rsid w:val="00AE24DA"/>
    <w:rsid w:val="00AE25A2"/>
    <w:rsid w:val="00AE283B"/>
    <w:rsid w:val="00AE3E0B"/>
    <w:rsid w:val="00AE4C8C"/>
    <w:rsid w:val="00AE5231"/>
    <w:rsid w:val="00AE588D"/>
    <w:rsid w:val="00AE5D50"/>
    <w:rsid w:val="00AE624F"/>
    <w:rsid w:val="00AE63E4"/>
    <w:rsid w:val="00AE7A44"/>
    <w:rsid w:val="00AE7B48"/>
    <w:rsid w:val="00AF007F"/>
    <w:rsid w:val="00AF1536"/>
    <w:rsid w:val="00AF1A4C"/>
    <w:rsid w:val="00AF2B90"/>
    <w:rsid w:val="00AF4A9F"/>
    <w:rsid w:val="00AF4BC0"/>
    <w:rsid w:val="00AF4CF2"/>
    <w:rsid w:val="00AF4F99"/>
    <w:rsid w:val="00AF501B"/>
    <w:rsid w:val="00AF56ED"/>
    <w:rsid w:val="00AF62F4"/>
    <w:rsid w:val="00AF6473"/>
    <w:rsid w:val="00AF7CBB"/>
    <w:rsid w:val="00AF7F4D"/>
    <w:rsid w:val="00B00065"/>
    <w:rsid w:val="00B01DF9"/>
    <w:rsid w:val="00B01EDB"/>
    <w:rsid w:val="00B028FA"/>
    <w:rsid w:val="00B03C25"/>
    <w:rsid w:val="00B04490"/>
    <w:rsid w:val="00B0491A"/>
    <w:rsid w:val="00B05374"/>
    <w:rsid w:val="00B05ECB"/>
    <w:rsid w:val="00B067AF"/>
    <w:rsid w:val="00B10129"/>
    <w:rsid w:val="00B1026B"/>
    <w:rsid w:val="00B10F2A"/>
    <w:rsid w:val="00B11B90"/>
    <w:rsid w:val="00B11D89"/>
    <w:rsid w:val="00B121C0"/>
    <w:rsid w:val="00B1252E"/>
    <w:rsid w:val="00B12FBB"/>
    <w:rsid w:val="00B13044"/>
    <w:rsid w:val="00B14455"/>
    <w:rsid w:val="00B14699"/>
    <w:rsid w:val="00B14D9F"/>
    <w:rsid w:val="00B14DB1"/>
    <w:rsid w:val="00B15058"/>
    <w:rsid w:val="00B156B7"/>
    <w:rsid w:val="00B1585A"/>
    <w:rsid w:val="00B15F1B"/>
    <w:rsid w:val="00B16181"/>
    <w:rsid w:val="00B16D73"/>
    <w:rsid w:val="00B17BE7"/>
    <w:rsid w:val="00B204F6"/>
    <w:rsid w:val="00B21A74"/>
    <w:rsid w:val="00B21F71"/>
    <w:rsid w:val="00B22797"/>
    <w:rsid w:val="00B22D45"/>
    <w:rsid w:val="00B232E1"/>
    <w:rsid w:val="00B238C9"/>
    <w:rsid w:val="00B248C2"/>
    <w:rsid w:val="00B27178"/>
    <w:rsid w:val="00B2717C"/>
    <w:rsid w:val="00B27414"/>
    <w:rsid w:val="00B3092D"/>
    <w:rsid w:val="00B30A4B"/>
    <w:rsid w:val="00B30B15"/>
    <w:rsid w:val="00B31853"/>
    <w:rsid w:val="00B3191E"/>
    <w:rsid w:val="00B31E1E"/>
    <w:rsid w:val="00B320A7"/>
    <w:rsid w:val="00B32204"/>
    <w:rsid w:val="00B330B8"/>
    <w:rsid w:val="00B333E1"/>
    <w:rsid w:val="00B33DB2"/>
    <w:rsid w:val="00B33F8E"/>
    <w:rsid w:val="00B3407F"/>
    <w:rsid w:val="00B345D2"/>
    <w:rsid w:val="00B35148"/>
    <w:rsid w:val="00B3569F"/>
    <w:rsid w:val="00B364AD"/>
    <w:rsid w:val="00B36740"/>
    <w:rsid w:val="00B3716B"/>
    <w:rsid w:val="00B37DE4"/>
    <w:rsid w:val="00B40765"/>
    <w:rsid w:val="00B40FE7"/>
    <w:rsid w:val="00B41E4B"/>
    <w:rsid w:val="00B4365F"/>
    <w:rsid w:val="00B44A73"/>
    <w:rsid w:val="00B46EFE"/>
    <w:rsid w:val="00B473B8"/>
    <w:rsid w:val="00B5187F"/>
    <w:rsid w:val="00B52206"/>
    <w:rsid w:val="00B53D03"/>
    <w:rsid w:val="00B55359"/>
    <w:rsid w:val="00B557E1"/>
    <w:rsid w:val="00B558D1"/>
    <w:rsid w:val="00B56207"/>
    <w:rsid w:val="00B56D7A"/>
    <w:rsid w:val="00B61369"/>
    <w:rsid w:val="00B64716"/>
    <w:rsid w:val="00B649ED"/>
    <w:rsid w:val="00B64E56"/>
    <w:rsid w:val="00B64FA6"/>
    <w:rsid w:val="00B65CF4"/>
    <w:rsid w:val="00B66B9F"/>
    <w:rsid w:val="00B66C2B"/>
    <w:rsid w:val="00B70728"/>
    <w:rsid w:val="00B70A6C"/>
    <w:rsid w:val="00B712BB"/>
    <w:rsid w:val="00B7175B"/>
    <w:rsid w:val="00B718C5"/>
    <w:rsid w:val="00B71ECC"/>
    <w:rsid w:val="00B72CBC"/>
    <w:rsid w:val="00B730D5"/>
    <w:rsid w:val="00B73A1A"/>
    <w:rsid w:val="00B73D09"/>
    <w:rsid w:val="00B7416C"/>
    <w:rsid w:val="00B74604"/>
    <w:rsid w:val="00B757BB"/>
    <w:rsid w:val="00B75904"/>
    <w:rsid w:val="00B760E3"/>
    <w:rsid w:val="00B76FFC"/>
    <w:rsid w:val="00B7782C"/>
    <w:rsid w:val="00B80280"/>
    <w:rsid w:val="00B80B44"/>
    <w:rsid w:val="00B810A1"/>
    <w:rsid w:val="00B81F41"/>
    <w:rsid w:val="00B81FED"/>
    <w:rsid w:val="00B82263"/>
    <w:rsid w:val="00B829A2"/>
    <w:rsid w:val="00B82BD0"/>
    <w:rsid w:val="00B82C93"/>
    <w:rsid w:val="00B82F8E"/>
    <w:rsid w:val="00B84396"/>
    <w:rsid w:val="00B845A2"/>
    <w:rsid w:val="00B84611"/>
    <w:rsid w:val="00B84E0E"/>
    <w:rsid w:val="00B84FB9"/>
    <w:rsid w:val="00B85493"/>
    <w:rsid w:val="00B85D6B"/>
    <w:rsid w:val="00B8726C"/>
    <w:rsid w:val="00B87793"/>
    <w:rsid w:val="00B879AD"/>
    <w:rsid w:val="00B91324"/>
    <w:rsid w:val="00B915B7"/>
    <w:rsid w:val="00B91C34"/>
    <w:rsid w:val="00B9224A"/>
    <w:rsid w:val="00B9228D"/>
    <w:rsid w:val="00B9249D"/>
    <w:rsid w:val="00B928A6"/>
    <w:rsid w:val="00B92B28"/>
    <w:rsid w:val="00B9378D"/>
    <w:rsid w:val="00B937CE"/>
    <w:rsid w:val="00B94C5B"/>
    <w:rsid w:val="00B94C69"/>
    <w:rsid w:val="00B966D0"/>
    <w:rsid w:val="00B974DE"/>
    <w:rsid w:val="00B97E0C"/>
    <w:rsid w:val="00BA03D4"/>
    <w:rsid w:val="00BA0EF1"/>
    <w:rsid w:val="00BA29C7"/>
    <w:rsid w:val="00BA2CE6"/>
    <w:rsid w:val="00BA3BF9"/>
    <w:rsid w:val="00BA3F9C"/>
    <w:rsid w:val="00BA5C2F"/>
    <w:rsid w:val="00BA6488"/>
    <w:rsid w:val="00BA6830"/>
    <w:rsid w:val="00BA6CA3"/>
    <w:rsid w:val="00BA6E26"/>
    <w:rsid w:val="00BA73FE"/>
    <w:rsid w:val="00BA74AB"/>
    <w:rsid w:val="00BA789B"/>
    <w:rsid w:val="00BA7F0D"/>
    <w:rsid w:val="00BB0786"/>
    <w:rsid w:val="00BB0EB1"/>
    <w:rsid w:val="00BB101A"/>
    <w:rsid w:val="00BB2296"/>
    <w:rsid w:val="00BB3443"/>
    <w:rsid w:val="00BB4344"/>
    <w:rsid w:val="00BB43C3"/>
    <w:rsid w:val="00BB45B4"/>
    <w:rsid w:val="00BB53C1"/>
    <w:rsid w:val="00BB566B"/>
    <w:rsid w:val="00BB5E2A"/>
    <w:rsid w:val="00BB639A"/>
    <w:rsid w:val="00BB6CDC"/>
    <w:rsid w:val="00BB713F"/>
    <w:rsid w:val="00BC03DE"/>
    <w:rsid w:val="00BC2790"/>
    <w:rsid w:val="00BC3892"/>
    <w:rsid w:val="00BC4BD9"/>
    <w:rsid w:val="00BC4E9C"/>
    <w:rsid w:val="00BC58C9"/>
    <w:rsid w:val="00BC5BCB"/>
    <w:rsid w:val="00BC5F7D"/>
    <w:rsid w:val="00BC746F"/>
    <w:rsid w:val="00BD0221"/>
    <w:rsid w:val="00BD0B37"/>
    <w:rsid w:val="00BD0E48"/>
    <w:rsid w:val="00BD1225"/>
    <w:rsid w:val="00BD1CD8"/>
    <w:rsid w:val="00BD2F8E"/>
    <w:rsid w:val="00BD30D5"/>
    <w:rsid w:val="00BD3281"/>
    <w:rsid w:val="00BD3DFB"/>
    <w:rsid w:val="00BD538C"/>
    <w:rsid w:val="00BD59D4"/>
    <w:rsid w:val="00BD6083"/>
    <w:rsid w:val="00BD608A"/>
    <w:rsid w:val="00BD60D9"/>
    <w:rsid w:val="00BD68E0"/>
    <w:rsid w:val="00BD79ED"/>
    <w:rsid w:val="00BE04D0"/>
    <w:rsid w:val="00BE0DE5"/>
    <w:rsid w:val="00BE0F85"/>
    <w:rsid w:val="00BE16CE"/>
    <w:rsid w:val="00BE1D2C"/>
    <w:rsid w:val="00BE1F84"/>
    <w:rsid w:val="00BE270B"/>
    <w:rsid w:val="00BE4A5B"/>
    <w:rsid w:val="00BE5B39"/>
    <w:rsid w:val="00BE6456"/>
    <w:rsid w:val="00BE6784"/>
    <w:rsid w:val="00BE7CF6"/>
    <w:rsid w:val="00BF26D7"/>
    <w:rsid w:val="00BF3228"/>
    <w:rsid w:val="00BF3260"/>
    <w:rsid w:val="00BF3B1C"/>
    <w:rsid w:val="00BF443D"/>
    <w:rsid w:val="00BF4BDF"/>
    <w:rsid w:val="00BF67CA"/>
    <w:rsid w:val="00BF7B0F"/>
    <w:rsid w:val="00C00816"/>
    <w:rsid w:val="00C014BE"/>
    <w:rsid w:val="00C014D1"/>
    <w:rsid w:val="00C01702"/>
    <w:rsid w:val="00C0174D"/>
    <w:rsid w:val="00C0190A"/>
    <w:rsid w:val="00C01ABD"/>
    <w:rsid w:val="00C021A4"/>
    <w:rsid w:val="00C0335F"/>
    <w:rsid w:val="00C03999"/>
    <w:rsid w:val="00C04E1F"/>
    <w:rsid w:val="00C05505"/>
    <w:rsid w:val="00C05E35"/>
    <w:rsid w:val="00C06A89"/>
    <w:rsid w:val="00C06CFB"/>
    <w:rsid w:val="00C07044"/>
    <w:rsid w:val="00C112EE"/>
    <w:rsid w:val="00C11313"/>
    <w:rsid w:val="00C11FA6"/>
    <w:rsid w:val="00C121EC"/>
    <w:rsid w:val="00C126AC"/>
    <w:rsid w:val="00C129A2"/>
    <w:rsid w:val="00C12D8D"/>
    <w:rsid w:val="00C14070"/>
    <w:rsid w:val="00C147DD"/>
    <w:rsid w:val="00C149B9"/>
    <w:rsid w:val="00C1548D"/>
    <w:rsid w:val="00C166FB"/>
    <w:rsid w:val="00C167EF"/>
    <w:rsid w:val="00C16869"/>
    <w:rsid w:val="00C16F23"/>
    <w:rsid w:val="00C17337"/>
    <w:rsid w:val="00C20444"/>
    <w:rsid w:val="00C20EBB"/>
    <w:rsid w:val="00C21065"/>
    <w:rsid w:val="00C21185"/>
    <w:rsid w:val="00C21EBC"/>
    <w:rsid w:val="00C2206E"/>
    <w:rsid w:val="00C22477"/>
    <w:rsid w:val="00C22C1A"/>
    <w:rsid w:val="00C22C27"/>
    <w:rsid w:val="00C234D3"/>
    <w:rsid w:val="00C23C53"/>
    <w:rsid w:val="00C24157"/>
    <w:rsid w:val="00C241C7"/>
    <w:rsid w:val="00C2526D"/>
    <w:rsid w:val="00C25332"/>
    <w:rsid w:val="00C2543D"/>
    <w:rsid w:val="00C26316"/>
    <w:rsid w:val="00C266D1"/>
    <w:rsid w:val="00C26B21"/>
    <w:rsid w:val="00C26F54"/>
    <w:rsid w:val="00C31B96"/>
    <w:rsid w:val="00C32BB7"/>
    <w:rsid w:val="00C33E4C"/>
    <w:rsid w:val="00C3487F"/>
    <w:rsid w:val="00C34FAA"/>
    <w:rsid w:val="00C35245"/>
    <w:rsid w:val="00C35655"/>
    <w:rsid w:val="00C357DB"/>
    <w:rsid w:val="00C37A26"/>
    <w:rsid w:val="00C41C76"/>
    <w:rsid w:val="00C41D75"/>
    <w:rsid w:val="00C4221D"/>
    <w:rsid w:val="00C426EF"/>
    <w:rsid w:val="00C427EA"/>
    <w:rsid w:val="00C4297A"/>
    <w:rsid w:val="00C42E0F"/>
    <w:rsid w:val="00C432D2"/>
    <w:rsid w:val="00C43980"/>
    <w:rsid w:val="00C43A62"/>
    <w:rsid w:val="00C44A54"/>
    <w:rsid w:val="00C44B2A"/>
    <w:rsid w:val="00C44EDC"/>
    <w:rsid w:val="00C4526C"/>
    <w:rsid w:val="00C46FB0"/>
    <w:rsid w:val="00C47DE7"/>
    <w:rsid w:val="00C5095B"/>
    <w:rsid w:val="00C50AF2"/>
    <w:rsid w:val="00C50F65"/>
    <w:rsid w:val="00C51006"/>
    <w:rsid w:val="00C51B9A"/>
    <w:rsid w:val="00C520E6"/>
    <w:rsid w:val="00C521ED"/>
    <w:rsid w:val="00C522F3"/>
    <w:rsid w:val="00C536ED"/>
    <w:rsid w:val="00C539DD"/>
    <w:rsid w:val="00C541F9"/>
    <w:rsid w:val="00C543EE"/>
    <w:rsid w:val="00C543F3"/>
    <w:rsid w:val="00C55D19"/>
    <w:rsid w:val="00C56429"/>
    <w:rsid w:val="00C5693C"/>
    <w:rsid w:val="00C5783C"/>
    <w:rsid w:val="00C602AF"/>
    <w:rsid w:val="00C63703"/>
    <w:rsid w:val="00C647A6"/>
    <w:rsid w:val="00C64C37"/>
    <w:rsid w:val="00C655BE"/>
    <w:rsid w:val="00C65D0E"/>
    <w:rsid w:val="00C66156"/>
    <w:rsid w:val="00C666CD"/>
    <w:rsid w:val="00C67684"/>
    <w:rsid w:val="00C679A1"/>
    <w:rsid w:val="00C67F18"/>
    <w:rsid w:val="00C7080B"/>
    <w:rsid w:val="00C70F8D"/>
    <w:rsid w:val="00C72031"/>
    <w:rsid w:val="00C725A3"/>
    <w:rsid w:val="00C7270D"/>
    <w:rsid w:val="00C72C20"/>
    <w:rsid w:val="00C730F9"/>
    <w:rsid w:val="00C74557"/>
    <w:rsid w:val="00C75B0A"/>
    <w:rsid w:val="00C75D10"/>
    <w:rsid w:val="00C76834"/>
    <w:rsid w:val="00C76FEB"/>
    <w:rsid w:val="00C8000E"/>
    <w:rsid w:val="00C8093C"/>
    <w:rsid w:val="00C80A8B"/>
    <w:rsid w:val="00C8118D"/>
    <w:rsid w:val="00C81D7F"/>
    <w:rsid w:val="00C82108"/>
    <w:rsid w:val="00C8314F"/>
    <w:rsid w:val="00C8376F"/>
    <w:rsid w:val="00C83C87"/>
    <w:rsid w:val="00C8449B"/>
    <w:rsid w:val="00C8642F"/>
    <w:rsid w:val="00C86596"/>
    <w:rsid w:val="00C876E4"/>
    <w:rsid w:val="00C87CDF"/>
    <w:rsid w:val="00C90B07"/>
    <w:rsid w:val="00C9124D"/>
    <w:rsid w:val="00C9228D"/>
    <w:rsid w:val="00C92772"/>
    <w:rsid w:val="00C92A40"/>
    <w:rsid w:val="00C92A53"/>
    <w:rsid w:val="00C92B48"/>
    <w:rsid w:val="00C960EB"/>
    <w:rsid w:val="00C964D5"/>
    <w:rsid w:val="00CA213B"/>
    <w:rsid w:val="00CA2D27"/>
    <w:rsid w:val="00CA42C9"/>
    <w:rsid w:val="00CA4458"/>
    <w:rsid w:val="00CA4800"/>
    <w:rsid w:val="00CA48E7"/>
    <w:rsid w:val="00CA4EF5"/>
    <w:rsid w:val="00CA51B9"/>
    <w:rsid w:val="00CA5B37"/>
    <w:rsid w:val="00CA5B85"/>
    <w:rsid w:val="00CB0BC4"/>
    <w:rsid w:val="00CB1407"/>
    <w:rsid w:val="00CB2195"/>
    <w:rsid w:val="00CB2EAC"/>
    <w:rsid w:val="00CB3118"/>
    <w:rsid w:val="00CB3617"/>
    <w:rsid w:val="00CB3A12"/>
    <w:rsid w:val="00CB44DA"/>
    <w:rsid w:val="00CB46F7"/>
    <w:rsid w:val="00CB495D"/>
    <w:rsid w:val="00CB5035"/>
    <w:rsid w:val="00CB512B"/>
    <w:rsid w:val="00CB52B2"/>
    <w:rsid w:val="00CB5359"/>
    <w:rsid w:val="00CB55F0"/>
    <w:rsid w:val="00CB68D8"/>
    <w:rsid w:val="00CB7DD3"/>
    <w:rsid w:val="00CC0967"/>
    <w:rsid w:val="00CC0ACB"/>
    <w:rsid w:val="00CC0CDD"/>
    <w:rsid w:val="00CC1FF4"/>
    <w:rsid w:val="00CC2777"/>
    <w:rsid w:val="00CC30B6"/>
    <w:rsid w:val="00CC4280"/>
    <w:rsid w:val="00CC552B"/>
    <w:rsid w:val="00CC642C"/>
    <w:rsid w:val="00CC65DB"/>
    <w:rsid w:val="00CC6931"/>
    <w:rsid w:val="00CC6AD5"/>
    <w:rsid w:val="00CC71B4"/>
    <w:rsid w:val="00CD00A5"/>
    <w:rsid w:val="00CD00EF"/>
    <w:rsid w:val="00CD1331"/>
    <w:rsid w:val="00CD16A3"/>
    <w:rsid w:val="00CD2D67"/>
    <w:rsid w:val="00CD31D8"/>
    <w:rsid w:val="00CD3DBB"/>
    <w:rsid w:val="00CD455C"/>
    <w:rsid w:val="00CD4E3E"/>
    <w:rsid w:val="00CD5373"/>
    <w:rsid w:val="00CD57CE"/>
    <w:rsid w:val="00CD5C53"/>
    <w:rsid w:val="00CD6005"/>
    <w:rsid w:val="00CD603B"/>
    <w:rsid w:val="00CD6131"/>
    <w:rsid w:val="00CD65CC"/>
    <w:rsid w:val="00CD686F"/>
    <w:rsid w:val="00CD6B27"/>
    <w:rsid w:val="00CD6B44"/>
    <w:rsid w:val="00CD6C7A"/>
    <w:rsid w:val="00CD728A"/>
    <w:rsid w:val="00CD75FB"/>
    <w:rsid w:val="00CE02DE"/>
    <w:rsid w:val="00CE1295"/>
    <w:rsid w:val="00CE1838"/>
    <w:rsid w:val="00CE1A55"/>
    <w:rsid w:val="00CE33C6"/>
    <w:rsid w:val="00CE3862"/>
    <w:rsid w:val="00CE393F"/>
    <w:rsid w:val="00CE41E1"/>
    <w:rsid w:val="00CE47CA"/>
    <w:rsid w:val="00CE5294"/>
    <w:rsid w:val="00CE5E7A"/>
    <w:rsid w:val="00CE5EC0"/>
    <w:rsid w:val="00CE6071"/>
    <w:rsid w:val="00CE7253"/>
    <w:rsid w:val="00CE7D13"/>
    <w:rsid w:val="00CF0B5D"/>
    <w:rsid w:val="00CF2621"/>
    <w:rsid w:val="00CF2EA3"/>
    <w:rsid w:val="00CF2ED6"/>
    <w:rsid w:val="00CF3926"/>
    <w:rsid w:val="00CF3DF7"/>
    <w:rsid w:val="00CF5476"/>
    <w:rsid w:val="00CF5A08"/>
    <w:rsid w:val="00CF5AEC"/>
    <w:rsid w:val="00CF5FCD"/>
    <w:rsid w:val="00CF6C04"/>
    <w:rsid w:val="00CF7883"/>
    <w:rsid w:val="00CF7F9F"/>
    <w:rsid w:val="00D0085C"/>
    <w:rsid w:val="00D00DCF"/>
    <w:rsid w:val="00D0139A"/>
    <w:rsid w:val="00D01AB1"/>
    <w:rsid w:val="00D02201"/>
    <w:rsid w:val="00D02643"/>
    <w:rsid w:val="00D03E5E"/>
    <w:rsid w:val="00D04DA6"/>
    <w:rsid w:val="00D05B8C"/>
    <w:rsid w:val="00D06725"/>
    <w:rsid w:val="00D071F2"/>
    <w:rsid w:val="00D073F9"/>
    <w:rsid w:val="00D10337"/>
    <w:rsid w:val="00D10859"/>
    <w:rsid w:val="00D10EC5"/>
    <w:rsid w:val="00D11784"/>
    <w:rsid w:val="00D1221F"/>
    <w:rsid w:val="00D126B1"/>
    <w:rsid w:val="00D13B4B"/>
    <w:rsid w:val="00D160D4"/>
    <w:rsid w:val="00D161D3"/>
    <w:rsid w:val="00D1654C"/>
    <w:rsid w:val="00D1657E"/>
    <w:rsid w:val="00D16E24"/>
    <w:rsid w:val="00D2013B"/>
    <w:rsid w:val="00D207F5"/>
    <w:rsid w:val="00D20DE3"/>
    <w:rsid w:val="00D21072"/>
    <w:rsid w:val="00D21526"/>
    <w:rsid w:val="00D2153B"/>
    <w:rsid w:val="00D21691"/>
    <w:rsid w:val="00D2187E"/>
    <w:rsid w:val="00D21F51"/>
    <w:rsid w:val="00D226A5"/>
    <w:rsid w:val="00D22BCC"/>
    <w:rsid w:val="00D25868"/>
    <w:rsid w:val="00D25AD0"/>
    <w:rsid w:val="00D25B75"/>
    <w:rsid w:val="00D25EBB"/>
    <w:rsid w:val="00D26B05"/>
    <w:rsid w:val="00D26BE3"/>
    <w:rsid w:val="00D26FC1"/>
    <w:rsid w:val="00D27A2D"/>
    <w:rsid w:val="00D31956"/>
    <w:rsid w:val="00D31B91"/>
    <w:rsid w:val="00D32B06"/>
    <w:rsid w:val="00D32D41"/>
    <w:rsid w:val="00D335DA"/>
    <w:rsid w:val="00D33766"/>
    <w:rsid w:val="00D33996"/>
    <w:rsid w:val="00D34711"/>
    <w:rsid w:val="00D34779"/>
    <w:rsid w:val="00D35050"/>
    <w:rsid w:val="00D352DB"/>
    <w:rsid w:val="00D3534A"/>
    <w:rsid w:val="00D35B32"/>
    <w:rsid w:val="00D36556"/>
    <w:rsid w:val="00D36B7F"/>
    <w:rsid w:val="00D36C82"/>
    <w:rsid w:val="00D372E1"/>
    <w:rsid w:val="00D40100"/>
    <w:rsid w:val="00D40C39"/>
    <w:rsid w:val="00D41F92"/>
    <w:rsid w:val="00D429F0"/>
    <w:rsid w:val="00D42C8C"/>
    <w:rsid w:val="00D45057"/>
    <w:rsid w:val="00D45EFC"/>
    <w:rsid w:val="00D4654F"/>
    <w:rsid w:val="00D467EF"/>
    <w:rsid w:val="00D51B97"/>
    <w:rsid w:val="00D523B3"/>
    <w:rsid w:val="00D52DA8"/>
    <w:rsid w:val="00D54942"/>
    <w:rsid w:val="00D54F7E"/>
    <w:rsid w:val="00D56336"/>
    <w:rsid w:val="00D56FAE"/>
    <w:rsid w:val="00D5718E"/>
    <w:rsid w:val="00D5771F"/>
    <w:rsid w:val="00D577B2"/>
    <w:rsid w:val="00D604ED"/>
    <w:rsid w:val="00D60F10"/>
    <w:rsid w:val="00D62BF4"/>
    <w:rsid w:val="00D634FD"/>
    <w:rsid w:val="00D636FF"/>
    <w:rsid w:val="00D64314"/>
    <w:rsid w:val="00D64567"/>
    <w:rsid w:val="00D646D8"/>
    <w:rsid w:val="00D659FA"/>
    <w:rsid w:val="00D65D3B"/>
    <w:rsid w:val="00D665F6"/>
    <w:rsid w:val="00D67EBE"/>
    <w:rsid w:val="00D7039D"/>
    <w:rsid w:val="00D704B0"/>
    <w:rsid w:val="00D7100F"/>
    <w:rsid w:val="00D7161A"/>
    <w:rsid w:val="00D72EF0"/>
    <w:rsid w:val="00D73215"/>
    <w:rsid w:val="00D744BC"/>
    <w:rsid w:val="00D74D73"/>
    <w:rsid w:val="00D75C55"/>
    <w:rsid w:val="00D76B29"/>
    <w:rsid w:val="00D76D98"/>
    <w:rsid w:val="00D77AFA"/>
    <w:rsid w:val="00D77FB1"/>
    <w:rsid w:val="00D8046D"/>
    <w:rsid w:val="00D80A35"/>
    <w:rsid w:val="00D81ADE"/>
    <w:rsid w:val="00D81D7C"/>
    <w:rsid w:val="00D821D2"/>
    <w:rsid w:val="00D83CCD"/>
    <w:rsid w:val="00D83D28"/>
    <w:rsid w:val="00D83E8F"/>
    <w:rsid w:val="00D83FF1"/>
    <w:rsid w:val="00D84F9E"/>
    <w:rsid w:val="00D870A5"/>
    <w:rsid w:val="00D87136"/>
    <w:rsid w:val="00D907F5"/>
    <w:rsid w:val="00D917FD"/>
    <w:rsid w:val="00D9264F"/>
    <w:rsid w:val="00D92F8A"/>
    <w:rsid w:val="00D93379"/>
    <w:rsid w:val="00D969D1"/>
    <w:rsid w:val="00DA0302"/>
    <w:rsid w:val="00DA0369"/>
    <w:rsid w:val="00DA0496"/>
    <w:rsid w:val="00DA07DE"/>
    <w:rsid w:val="00DA0BED"/>
    <w:rsid w:val="00DA1E08"/>
    <w:rsid w:val="00DA2047"/>
    <w:rsid w:val="00DA26AA"/>
    <w:rsid w:val="00DA326C"/>
    <w:rsid w:val="00DA36FD"/>
    <w:rsid w:val="00DA3EC7"/>
    <w:rsid w:val="00DA5430"/>
    <w:rsid w:val="00DA5854"/>
    <w:rsid w:val="00DA62D6"/>
    <w:rsid w:val="00DA64AB"/>
    <w:rsid w:val="00DA675A"/>
    <w:rsid w:val="00DA6C90"/>
    <w:rsid w:val="00DA73A2"/>
    <w:rsid w:val="00DB0865"/>
    <w:rsid w:val="00DB119D"/>
    <w:rsid w:val="00DB1B65"/>
    <w:rsid w:val="00DB1CDB"/>
    <w:rsid w:val="00DB2DF4"/>
    <w:rsid w:val="00DB4D7C"/>
    <w:rsid w:val="00DB5213"/>
    <w:rsid w:val="00DB5749"/>
    <w:rsid w:val="00DB5BB9"/>
    <w:rsid w:val="00DB6038"/>
    <w:rsid w:val="00DB60AF"/>
    <w:rsid w:val="00DB64AD"/>
    <w:rsid w:val="00DB6BD9"/>
    <w:rsid w:val="00DB6C95"/>
    <w:rsid w:val="00DB6C9F"/>
    <w:rsid w:val="00DB7AD6"/>
    <w:rsid w:val="00DB7B8B"/>
    <w:rsid w:val="00DC157B"/>
    <w:rsid w:val="00DC287C"/>
    <w:rsid w:val="00DC2B68"/>
    <w:rsid w:val="00DC34D4"/>
    <w:rsid w:val="00DC3674"/>
    <w:rsid w:val="00DC5581"/>
    <w:rsid w:val="00DC674C"/>
    <w:rsid w:val="00DC7452"/>
    <w:rsid w:val="00DD05FF"/>
    <w:rsid w:val="00DD06EF"/>
    <w:rsid w:val="00DD0B9D"/>
    <w:rsid w:val="00DD0D00"/>
    <w:rsid w:val="00DD0DCA"/>
    <w:rsid w:val="00DD196D"/>
    <w:rsid w:val="00DD2CAD"/>
    <w:rsid w:val="00DD2CE7"/>
    <w:rsid w:val="00DD2ED8"/>
    <w:rsid w:val="00DD3370"/>
    <w:rsid w:val="00DD376D"/>
    <w:rsid w:val="00DD4286"/>
    <w:rsid w:val="00DD4383"/>
    <w:rsid w:val="00DD43B9"/>
    <w:rsid w:val="00DD4F6F"/>
    <w:rsid w:val="00DD7853"/>
    <w:rsid w:val="00DE1399"/>
    <w:rsid w:val="00DE1888"/>
    <w:rsid w:val="00DE1CDF"/>
    <w:rsid w:val="00DE1EBB"/>
    <w:rsid w:val="00DE2F78"/>
    <w:rsid w:val="00DE2FA9"/>
    <w:rsid w:val="00DE35EE"/>
    <w:rsid w:val="00DE39C4"/>
    <w:rsid w:val="00DE3C25"/>
    <w:rsid w:val="00DE3CF2"/>
    <w:rsid w:val="00DE419F"/>
    <w:rsid w:val="00DE44F7"/>
    <w:rsid w:val="00DE462E"/>
    <w:rsid w:val="00DE5652"/>
    <w:rsid w:val="00DE66F2"/>
    <w:rsid w:val="00DF0D48"/>
    <w:rsid w:val="00DF1FD2"/>
    <w:rsid w:val="00DF2C55"/>
    <w:rsid w:val="00DF3917"/>
    <w:rsid w:val="00DF3D68"/>
    <w:rsid w:val="00DF4C1E"/>
    <w:rsid w:val="00DF5151"/>
    <w:rsid w:val="00DF5373"/>
    <w:rsid w:val="00DF5BE1"/>
    <w:rsid w:val="00DF5F7E"/>
    <w:rsid w:val="00DF64FF"/>
    <w:rsid w:val="00E00F29"/>
    <w:rsid w:val="00E01129"/>
    <w:rsid w:val="00E01201"/>
    <w:rsid w:val="00E01C52"/>
    <w:rsid w:val="00E024A7"/>
    <w:rsid w:val="00E02E63"/>
    <w:rsid w:val="00E05F28"/>
    <w:rsid w:val="00E06D35"/>
    <w:rsid w:val="00E07F5E"/>
    <w:rsid w:val="00E1018C"/>
    <w:rsid w:val="00E118CC"/>
    <w:rsid w:val="00E12149"/>
    <w:rsid w:val="00E132AD"/>
    <w:rsid w:val="00E13809"/>
    <w:rsid w:val="00E1431C"/>
    <w:rsid w:val="00E14521"/>
    <w:rsid w:val="00E14850"/>
    <w:rsid w:val="00E171E9"/>
    <w:rsid w:val="00E171F6"/>
    <w:rsid w:val="00E20BCE"/>
    <w:rsid w:val="00E20F38"/>
    <w:rsid w:val="00E2104A"/>
    <w:rsid w:val="00E22CE6"/>
    <w:rsid w:val="00E233DE"/>
    <w:rsid w:val="00E2443B"/>
    <w:rsid w:val="00E2487A"/>
    <w:rsid w:val="00E25255"/>
    <w:rsid w:val="00E252B2"/>
    <w:rsid w:val="00E25481"/>
    <w:rsid w:val="00E25483"/>
    <w:rsid w:val="00E256F5"/>
    <w:rsid w:val="00E259B8"/>
    <w:rsid w:val="00E261EE"/>
    <w:rsid w:val="00E26931"/>
    <w:rsid w:val="00E27141"/>
    <w:rsid w:val="00E27F67"/>
    <w:rsid w:val="00E316DD"/>
    <w:rsid w:val="00E318EE"/>
    <w:rsid w:val="00E3316D"/>
    <w:rsid w:val="00E36A5F"/>
    <w:rsid w:val="00E404D3"/>
    <w:rsid w:val="00E410BA"/>
    <w:rsid w:val="00E4118B"/>
    <w:rsid w:val="00E41762"/>
    <w:rsid w:val="00E41A8B"/>
    <w:rsid w:val="00E42601"/>
    <w:rsid w:val="00E45359"/>
    <w:rsid w:val="00E45626"/>
    <w:rsid w:val="00E45EEA"/>
    <w:rsid w:val="00E4631A"/>
    <w:rsid w:val="00E46AEE"/>
    <w:rsid w:val="00E46C04"/>
    <w:rsid w:val="00E4769F"/>
    <w:rsid w:val="00E47A93"/>
    <w:rsid w:val="00E50C5D"/>
    <w:rsid w:val="00E50D84"/>
    <w:rsid w:val="00E50EBA"/>
    <w:rsid w:val="00E51114"/>
    <w:rsid w:val="00E512ED"/>
    <w:rsid w:val="00E51558"/>
    <w:rsid w:val="00E51595"/>
    <w:rsid w:val="00E534C8"/>
    <w:rsid w:val="00E541A0"/>
    <w:rsid w:val="00E56602"/>
    <w:rsid w:val="00E56D48"/>
    <w:rsid w:val="00E5799C"/>
    <w:rsid w:val="00E60F41"/>
    <w:rsid w:val="00E61F35"/>
    <w:rsid w:val="00E61FB6"/>
    <w:rsid w:val="00E62B88"/>
    <w:rsid w:val="00E6329E"/>
    <w:rsid w:val="00E63861"/>
    <w:rsid w:val="00E63881"/>
    <w:rsid w:val="00E6464E"/>
    <w:rsid w:val="00E6512C"/>
    <w:rsid w:val="00E663B5"/>
    <w:rsid w:val="00E66EE1"/>
    <w:rsid w:val="00E675A2"/>
    <w:rsid w:val="00E67E41"/>
    <w:rsid w:val="00E70007"/>
    <w:rsid w:val="00E70552"/>
    <w:rsid w:val="00E70838"/>
    <w:rsid w:val="00E7161A"/>
    <w:rsid w:val="00E71681"/>
    <w:rsid w:val="00E71AE5"/>
    <w:rsid w:val="00E72586"/>
    <w:rsid w:val="00E72682"/>
    <w:rsid w:val="00E734C9"/>
    <w:rsid w:val="00E73D82"/>
    <w:rsid w:val="00E73FD9"/>
    <w:rsid w:val="00E801B6"/>
    <w:rsid w:val="00E80CF8"/>
    <w:rsid w:val="00E816C9"/>
    <w:rsid w:val="00E817DA"/>
    <w:rsid w:val="00E81D4B"/>
    <w:rsid w:val="00E83271"/>
    <w:rsid w:val="00E83AEE"/>
    <w:rsid w:val="00E84406"/>
    <w:rsid w:val="00E8473D"/>
    <w:rsid w:val="00E8484E"/>
    <w:rsid w:val="00E849E3"/>
    <w:rsid w:val="00E84A78"/>
    <w:rsid w:val="00E86053"/>
    <w:rsid w:val="00E86097"/>
    <w:rsid w:val="00E86566"/>
    <w:rsid w:val="00E867CC"/>
    <w:rsid w:val="00E86987"/>
    <w:rsid w:val="00E86DEF"/>
    <w:rsid w:val="00E86E65"/>
    <w:rsid w:val="00E87129"/>
    <w:rsid w:val="00E87130"/>
    <w:rsid w:val="00E91EBC"/>
    <w:rsid w:val="00E92D94"/>
    <w:rsid w:val="00E9398B"/>
    <w:rsid w:val="00E93AA4"/>
    <w:rsid w:val="00E942B7"/>
    <w:rsid w:val="00E94F81"/>
    <w:rsid w:val="00E952F3"/>
    <w:rsid w:val="00E95A72"/>
    <w:rsid w:val="00E95A93"/>
    <w:rsid w:val="00E965B8"/>
    <w:rsid w:val="00E96746"/>
    <w:rsid w:val="00E975FC"/>
    <w:rsid w:val="00EA02C5"/>
    <w:rsid w:val="00EA06C2"/>
    <w:rsid w:val="00EA0800"/>
    <w:rsid w:val="00EA0B57"/>
    <w:rsid w:val="00EA1072"/>
    <w:rsid w:val="00EA2AE8"/>
    <w:rsid w:val="00EA415F"/>
    <w:rsid w:val="00EA46E3"/>
    <w:rsid w:val="00EA4999"/>
    <w:rsid w:val="00EA513C"/>
    <w:rsid w:val="00EA576B"/>
    <w:rsid w:val="00EA5D05"/>
    <w:rsid w:val="00EA7670"/>
    <w:rsid w:val="00EB083C"/>
    <w:rsid w:val="00EB17EF"/>
    <w:rsid w:val="00EB20D2"/>
    <w:rsid w:val="00EB2305"/>
    <w:rsid w:val="00EB3DE4"/>
    <w:rsid w:val="00EB4580"/>
    <w:rsid w:val="00EB4DDB"/>
    <w:rsid w:val="00EB5C0D"/>
    <w:rsid w:val="00EB6C2E"/>
    <w:rsid w:val="00EB79C7"/>
    <w:rsid w:val="00EB7E92"/>
    <w:rsid w:val="00EC09D7"/>
    <w:rsid w:val="00EC0A46"/>
    <w:rsid w:val="00EC1EEF"/>
    <w:rsid w:val="00EC220B"/>
    <w:rsid w:val="00EC27C1"/>
    <w:rsid w:val="00EC287D"/>
    <w:rsid w:val="00EC36C5"/>
    <w:rsid w:val="00EC3BF9"/>
    <w:rsid w:val="00EC433E"/>
    <w:rsid w:val="00EC4755"/>
    <w:rsid w:val="00EC5363"/>
    <w:rsid w:val="00EC5D20"/>
    <w:rsid w:val="00EC5DFE"/>
    <w:rsid w:val="00EC63A1"/>
    <w:rsid w:val="00EC66C4"/>
    <w:rsid w:val="00EC72AE"/>
    <w:rsid w:val="00EC7BA5"/>
    <w:rsid w:val="00EC7EB4"/>
    <w:rsid w:val="00ED0C88"/>
    <w:rsid w:val="00ED11CC"/>
    <w:rsid w:val="00ED1414"/>
    <w:rsid w:val="00ED19AB"/>
    <w:rsid w:val="00ED1EB8"/>
    <w:rsid w:val="00ED2D76"/>
    <w:rsid w:val="00ED3919"/>
    <w:rsid w:val="00ED438A"/>
    <w:rsid w:val="00ED43AC"/>
    <w:rsid w:val="00ED4DFA"/>
    <w:rsid w:val="00ED54F5"/>
    <w:rsid w:val="00ED5C9D"/>
    <w:rsid w:val="00ED78C1"/>
    <w:rsid w:val="00ED7A70"/>
    <w:rsid w:val="00ED7DA5"/>
    <w:rsid w:val="00EE0A05"/>
    <w:rsid w:val="00EE0E28"/>
    <w:rsid w:val="00EE145D"/>
    <w:rsid w:val="00EE5BEF"/>
    <w:rsid w:val="00EE646B"/>
    <w:rsid w:val="00EE6962"/>
    <w:rsid w:val="00EE6D18"/>
    <w:rsid w:val="00EE7234"/>
    <w:rsid w:val="00EE78F6"/>
    <w:rsid w:val="00EE7A29"/>
    <w:rsid w:val="00EF0D9F"/>
    <w:rsid w:val="00EF0DE8"/>
    <w:rsid w:val="00EF1ECC"/>
    <w:rsid w:val="00EF2A7B"/>
    <w:rsid w:val="00EF2B3F"/>
    <w:rsid w:val="00EF30BD"/>
    <w:rsid w:val="00EF35EB"/>
    <w:rsid w:val="00EF3E73"/>
    <w:rsid w:val="00EF4F08"/>
    <w:rsid w:val="00EF5801"/>
    <w:rsid w:val="00EF63A9"/>
    <w:rsid w:val="00EF657C"/>
    <w:rsid w:val="00EF6DB2"/>
    <w:rsid w:val="00EF6F37"/>
    <w:rsid w:val="00F003BF"/>
    <w:rsid w:val="00F02DBA"/>
    <w:rsid w:val="00F0315C"/>
    <w:rsid w:val="00F0389C"/>
    <w:rsid w:val="00F04313"/>
    <w:rsid w:val="00F06086"/>
    <w:rsid w:val="00F0642E"/>
    <w:rsid w:val="00F0726F"/>
    <w:rsid w:val="00F07B12"/>
    <w:rsid w:val="00F07D69"/>
    <w:rsid w:val="00F1034D"/>
    <w:rsid w:val="00F1079F"/>
    <w:rsid w:val="00F117ED"/>
    <w:rsid w:val="00F11876"/>
    <w:rsid w:val="00F1193D"/>
    <w:rsid w:val="00F12A31"/>
    <w:rsid w:val="00F132B1"/>
    <w:rsid w:val="00F148C3"/>
    <w:rsid w:val="00F15796"/>
    <w:rsid w:val="00F15A83"/>
    <w:rsid w:val="00F15D66"/>
    <w:rsid w:val="00F15DEB"/>
    <w:rsid w:val="00F21D22"/>
    <w:rsid w:val="00F223DB"/>
    <w:rsid w:val="00F229E1"/>
    <w:rsid w:val="00F23AB2"/>
    <w:rsid w:val="00F24BC9"/>
    <w:rsid w:val="00F25A5C"/>
    <w:rsid w:val="00F27375"/>
    <w:rsid w:val="00F27CDB"/>
    <w:rsid w:val="00F30B77"/>
    <w:rsid w:val="00F31036"/>
    <w:rsid w:val="00F311E3"/>
    <w:rsid w:val="00F33F9D"/>
    <w:rsid w:val="00F34B11"/>
    <w:rsid w:val="00F35399"/>
    <w:rsid w:val="00F37298"/>
    <w:rsid w:val="00F373EB"/>
    <w:rsid w:val="00F37BD3"/>
    <w:rsid w:val="00F4040B"/>
    <w:rsid w:val="00F4189A"/>
    <w:rsid w:val="00F420A1"/>
    <w:rsid w:val="00F4354F"/>
    <w:rsid w:val="00F43732"/>
    <w:rsid w:val="00F4397B"/>
    <w:rsid w:val="00F439B0"/>
    <w:rsid w:val="00F43E2A"/>
    <w:rsid w:val="00F45152"/>
    <w:rsid w:val="00F45668"/>
    <w:rsid w:val="00F45BAE"/>
    <w:rsid w:val="00F460E0"/>
    <w:rsid w:val="00F46E79"/>
    <w:rsid w:val="00F47254"/>
    <w:rsid w:val="00F47378"/>
    <w:rsid w:val="00F47678"/>
    <w:rsid w:val="00F50CDA"/>
    <w:rsid w:val="00F50D4E"/>
    <w:rsid w:val="00F50E87"/>
    <w:rsid w:val="00F52610"/>
    <w:rsid w:val="00F52876"/>
    <w:rsid w:val="00F52B6A"/>
    <w:rsid w:val="00F52CA0"/>
    <w:rsid w:val="00F52FA7"/>
    <w:rsid w:val="00F5316C"/>
    <w:rsid w:val="00F53389"/>
    <w:rsid w:val="00F542C1"/>
    <w:rsid w:val="00F5457A"/>
    <w:rsid w:val="00F547D0"/>
    <w:rsid w:val="00F557D6"/>
    <w:rsid w:val="00F558AF"/>
    <w:rsid w:val="00F558F7"/>
    <w:rsid w:val="00F559D8"/>
    <w:rsid w:val="00F55A60"/>
    <w:rsid w:val="00F56354"/>
    <w:rsid w:val="00F57267"/>
    <w:rsid w:val="00F57E43"/>
    <w:rsid w:val="00F61966"/>
    <w:rsid w:val="00F621E0"/>
    <w:rsid w:val="00F6229B"/>
    <w:rsid w:val="00F623EA"/>
    <w:rsid w:val="00F628A5"/>
    <w:rsid w:val="00F62992"/>
    <w:rsid w:val="00F6300B"/>
    <w:rsid w:val="00F63194"/>
    <w:rsid w:val="00F636F2"/>
    <w:rsid w:val="00F6382A"/>
    <w:rsid w:val="00F6395E"/>
    <w:rsid w:val="00F640AA"/>
    <w:rsid w:val="00F64BD2"/>
    <w:rsid w:val="00F64DCE"/>
    <w:rsid w:val="00F6516C"/>
    <w:rsid w:val="00F654ED"/>
    <w:rsid w:val="00F65F9E"/>
    <w:rsid w:val="00F6618C"/>
    <w:rsid w:val="00F66653"/>
    <w:rsid w:val="00F6725A"/>
    <w:rsid w:val="00F67A29"/>
    <w:rsid w:val="00F67DA6"/>
    <w:rsid w:val="00F702EB"/>
    <w:rsid w:val="00F70380"/>
    <w:rsid w:val="00F7078F"/>
    <w:rsid w:val="00F708ED"/>
    <w:rsid w:val="00F710D6"/>
    <w:rsid w:val="00F717E1"/>
    <w:rsid w:val="00F71D7D"/>
    <w:rsid w:val="00F726B1"/>
    <w:rsid w:val="00F72BDF"/>
    <w:rsid w:val="00F72EB3"/>
    <w:rsid w:val="00F73321"/>
    <w:rsid w:val="00F735A7"/>
    <w:rsid w:val="00F74441"/>
    <w:rsid w:val="00F745D9"/>
    <w:rsid w:val="00F75D17"/>
    <w:rsid w:val="00F76BB3"/>
    <w:rsid w:val="00F76D4E"/>
    <w:rsid w:val="00F772DA"/>
    <w:rsid w:val="00F7781E"/>
    <w:rsid w:val="00F81708"/>
    <w:rsid w:val="00F81F1D"/>
    <w:rsid w:val="00F82D68"/>
    <w:rsid w:val="00F8304F"/>
    <w:rsid w:val="00F847B5"/>
    <w:rsid w:val="00F85DFD"/>
    <w:rsid w:val="00F868BC"/>
    <w:rsid w:val="00F871F5"/>
    <w:rsid w:val="00F875DE"/>
    <w:rsid w:val="00F879B1"/>
    <w:rsid w:val="00F90D95"/>
    <w:rsid w:val="00F90F9D"/>
    <w:rsid w:val="00F91054"/>
    <w:rsid w:val="00F92653"/>
    <w:rsid w:val="00F92C69"/>
    <w:rsid w:val="00F9332E"/>
    <w:rsid w:val="00F94962"/>
    <w:rsid w:val="00F9521E"/>
    <w:rsid w:val="00F95E15"/>
    <w:rsid w:val="00F961DD"/>
    <w:rsid w:val="00F97015"/>
    <w:rsid w:val="00F9746E"/>
    <w:rsid w:val="00F974A9"/>
    <w:rsid w:val="00FA03B6"/>
    <w:rsid w:val="00FA1144"/>
    <w:rsid w:val="00FA1629"/>
    <w:rsid w:val="00FA226B"/>
    <w:rsid w:val="00FA2DC5"/>
    <w:rsid w:val="00FA33D9"/>
    <w:rsid w:val="00FA3486"/>
    <w:rsid w:val="00FA36DB"/>
    <w:rsid w:val="00FA429A"/>
    <w:rsid w:val="00FA4D82"/>
    <w:rsid w:val="00FA528E"/>
    <w:rsid w:val="00FA52E7"/>
    <w:rsid w:val="00FA5DD2"/>
    <w:rsid w:val="00FA63FC"/>
    <w:rsid w:val="00FA70D4"/>
    <w:rsid w:val="00FB092A"/>
    <w:rsid w:val="00FB0BC2"/>
    <w:rsid w:val="00FB2F90"/>
    <w:rsid w:val="00FB308E"/>
    <w:rsid w:val="00FB32D4"/>
    <w:rsid w:val="00FB3461"/>
    <w:rsid w:val="00FB48FD"/>
    <w:rsid w:val="00FB5CA3"/>
    <w:rsid w:val="00FC006A"/>
    <w:rsid w:val="00FC12B5"/>
    <w:rsid w:val="00FC1882"/>
    <w:rsid w:val="00FC1AD6"/>
    <w:rsid w:val="00FC1C2D"/>
    <w:rsid w:val="00FC27E6"/>
    <w:rsid w:val="00FC2803"/>
    <w:rsid w:val="00FC2B2D"/>
    <w:rsid w:val="00FC2CDB"/>
    <w:rsid w:val="00FC3263"/>
    <w:rsid w:val="00FC3633"/>
    <w:rsid w:val="00FC3A48"/>
    <w:rsid w:val="00FC49C1"/>
    <w:rsid w:val="00FC5058"/>
    <w:rsid w:val="00FC54B8"/>
    <w:rsid w:val="00FC735E"/>
    <w:rsid w:val="00FC7F42"/>
    <w:rsid w:val="00FD0883"/>
    <w:rsid w:val="00FD0CEF"/>
    <w:rsid w:val="00FD1263"/>
    <w:rsid w:val="00FD1EA4"/>
    <w:rsid w:val="00FD273B"/>
    <w:rsid w:val="00FD2B18"/>
    <w:rsid w:val="00FD34B2"/>
    <w:rsid w:val="00FD350C"/>
    <w:rsid w:val="00FD4A4B"/>
    <w:rsid w:val="00FD4B1F"/>
    <w:rsid w:val="00FD4ED0"/>
    <w:rsid w:val="00FD5D94"/>
    <w:rsid w:val="00FD65DE"/>
    <w:rsid w:val="00FD6DF2"/>
    <w:rsid w:val="00FE0D70"/>
    <w:rsid w:val="00FE1A06"/>
    <w:rsid w:val="00FE2E8D"/>
    <w:rsid w:val="00FE3738"/>
    <w:rsid w:val="00FE3ACE"/>
    <w:rsid w:val="00FE3DF9"/>
    <w:rsid w:val="00FE4F1F"/>
    <w:rsid w:val="00FE513E"/>
    <w:rsid w:val="00FE531F"/>
    <w:rsid w:val="00FE5F67"/>
    <w:rsid w:val="00FE65F9"/>
    <w:rsid w:val="00FE7764"/>
    <w:rsid w:val="00FE7B08"/>
    <w:rsid w:val="00FF047B"/>
    <w:rsid w:val="00FF0F14"/>
    <w:rsid w:val="00FF177B"/>
    <w:rsid w:val="00FF249C"/>
    <w:rsid w:val="00FF2551"/>
    <w:rsid w:val="00FF2EA1"/>
    <w:rsid w:val="00FF35F6"/>
    <w:rsid w:val="00FF5C39"/>
    <w:rsid w:val="00FF5D32"/>
    <w:rsid w:val="00FF5D67"/>
    <w:rsid w:val="00FF6321"/>
    <w:rsid w:val="00FF7622"/>
    <w:rsid w:val="00FF7C46"/>
    <w:rsid w:val="01E22EEF"/>
    <w:rsid w:val="02094019"/>
    <w:rsid w:val="024876E8"/>
    <w:rsid w:val="025A3D10"/>
    <w:rsid w:val="02E0504F"/>
    <w:rsid w:val="02E97045"/>
    <w:rsid w:val="02FB6E41"/>
    <w:rsid w:val="03FB06D5"/>
    <w:rsid w:val="047A1299"/>
    <w:rsid w:val="048B07CE"/>
    <w:rsid w:val="04D12E16"/>
    <w:rsid w:val="04FD01C0"/>
    <w:rsid w:val="055E0BF4"/>
    <w:rsid w:val="06AB62C8"/>
    <w:rsid w:val="073A04FC"/>
    <w:rsid w:val="0772543B"/>
    <w:rsid w:val="077305E3"/>
    <w:rsid w:val="079F4F94"/>
    <w:rsid w:val="07CD0531"/>
    <w:rsid w:val="08D11764"/>
    <w:rsid w:val="096E10A3"/>
    <w:rsid w:val="0A530C57"/>
    <w:rsid w:val="0B242CDB"/>
    <w:rsid w:val="0B2D534F"/>
    <w:rsid w:val="0BBF6BB4"/>
    <w:rsid w:val="0BF12592"/>
    <w:rsid w:val="0C7809C1"/>
    <w:rsid w:val="0EC05219"/>
    <w:rsid w:val="0F0A73C7"/>
    <w:rsid w:val="10D4508F"/>
    <w:rsid w:val="11402131"/>
    <w:rsid w:val="12274323"/>
    <w:rsid w:val="12792853"/>
    <w:rsid w:val="131979D7"/>
    <w:rsid w:val="13753309"/>
    <w:rsid w:val="1517452C"/>
    <w:rsid w:val="156C4FA6"/>
    <w:rsid w:val="15F202E1"/>
    <w:rsid w:val="160216D0"/>
    <w:rsid w:val="1641787C"/>
    <w:rsid w:val="1649653A"/>
    <w:rsid w:val="16AB203A"/>
    <w:rsid w:val="1705389A"/>
    <w:rsid w:val="174940E7"/>
    <w:rsid w:val="17656506"/>
    <w:rsid w:val="17A66650"/>
    <w:rsid w:val="17EA48C1"/>
    <w:rsid w:val="183E69BC"/>
    <w:rsid w:val="18701E4F"/>
    <w:rsid w:val="188F2709"/>
    <w:rsid w:val="18A0023E"/>
    <w:rsid w:val="18A349BF"/>
    <w:rsid w:val="18C76FC8"/>
    <w:rsid w:val="18DE5562"/>
    <w:rsid w:val="19D67B1E"/>
    <w:rsid w:val="1AC55489"/>
    <w:rsid w:val="1B5E62E3"/>
    <w:rsid w:val="1B8A18C6"/>
    <w:rsid w:val="1C620459"/>
    <w:rsid w:val="1C7366B7"/>
    <w:rsid w:val="1C9B1BC8"/>
    <w:rsid w:val="1D7E4261"/>
    <w:rsid w:val="1DBA42CB"/>
    <w:rsid w:val="1DC00253"/>
    <w:rsid w:val="1DE459E0"/>
    <w:rsid w:val="1E8E78CB"/>
    <w:rsid w:val="1F4D283F"/>
    <w:rsid w:val="20986362"/>
    <w:rsid w:val="21D05464"/>
    <w:rsid w:val="23BB3852"/>
    <w:rsid w:val="23E62F23"/>
    <w:rsid w:val="23E67023"/>
    <w:rsid w:val="245C6B98"/>
    <w:rsid w:val="25F00525"/>
    <w:rsid w:val="260236E8"/>
    <w:rsid w:val="26D24959"/>
    <w:rsid w:val="272B2C33"/>
    <w:rsid w:val="278E1A78"/>
    <w:rsid w:val="291A6927"/>
    <w:rsid w:val="29AC3D11"/>
    <w:rsid w:val="29E178F4"/>
    <w:rsid w:val="2A092AB2"/>
    <w:rsid w:val="2A7E2845"/>
    <w:rsid w:val="2A991300"/>
    <w:rsid w:val="2C37731C"/>
    <w:rsid w:val="2C982A9C"/>
    <w:rsid w:val="2CEC10E5"/>
    <w:rsid w:val="2CF162E8"/>
    <w:rsid w:val="2DF94778"/>
    <w:rsid w:val="2E2547BF"/>
    <w:rsid w:val="2E324981"/>
    <w:rsid w:val="2F37683A"/>
    <w:rsid w:val="30305526"/>
    <w:rsid w:val="31EE26C8"/>
    <w:rsid w:val="31FB698F"/>
    <w:rsid w:val="32C7765E"/>
    <w:rsid w:val="32CA2532"/>
    <w:rsid w:val="33416BBC"/>
    <w:rsid w:val="33EB3CEE"/>
    <w:rsid w:val="34AB4DE7"/>
    <w:rsid w:val="34B0337D"/>
    <w:rsid w:val="34C9605D"/>
    <w:rsid w:val="36746E1E"/>
    <w:rsid w:val="36F529A6"/>
    <w:rsid w:val="372736A2"/>
    <w:rsid w:val="37F073E0"/>
    <w:rsid w:val="38431C78"/>
    <w:rsid w:val="387E353F"/>
    <w:rsid w:val="39D76AC2"/>
    <w:rsid w:val="3AB73588"/>
    <w:rsid w:val="3ABF338F"/>
    <w:rsid w:val="3AE414BC"/>
    <w:rsid w:val="3B11419E"/>
    <w:rsid w:val="3D5D2570"/>
    <w:rsid w:val="3EFC0D98"/>
    <w:rsid w:val="3F644550"/>
    <w:rsid w:val="401B42B1"/>
    <w:rsid w:val="401D42A1"/>
    <w:rsid w:val="403861BE"/>
    <w:rsid w:val="40565757"/>
    <w:rsid w:val="40DD7C7A"/>
    <w:rsid w:val="41650F9C"/>
    <w:rsid w:val="42004864"/>
    <w:rsid w:val="424A5077"/>
    <w:rsid w:val="426C0506"/>
    <w:rsid w:val="43232629"/>
    <w:rsid w:val="445115D2"/>
    <w:rsid w:val="45C71665"/>
    <w:rsid w:val="45D17A1D"/>
    <w:rsid w:val="46064ACA"/>
    <w:rsid w:val="473B0685"/>
    <w:rsid w:val="47411156"/>
    <w:rsid w:val="47733101"/>
    <w:rsid w:val="478F1D61"/>
    <w:rsid w:val="47B343B5"/>
    <w:rsid w:val="480C5B3E"/>
    <w:rsid w:val="48EB642B"/>
    <w:rsid w:val="4A621E0C"/>
    <w:rsid w:val="4B5F2195"/>
    <w:rsid w:val="4C051C9C"/>
    <w:rsid w:val="4C0650FC"/>
    <w:rsid w:val="4C2F48E8"/>
    <w:rsid w:val="4C6774D3"/>
    <w:rsid w:val="4DB92B07"/>
    <w:rsid w:val="4EA973E8"/>
    <w:rsid w:val="4EAC070E"/>
    <w:rsid w:val="4EC0153A"/>
    <w:rsid w:val="4EFF0E96"/>
    <w:rsid w:val="4F83650B"/>
    <w:rsid w:val="4F837F80"/>
    <w:rsid w:val="4FE56D34"/>
    <w:rsid w:val="50AE5B33"/>
    <w:rsid w:val="50C529B2"/>
    <w:rsid w:val="51185ECD"/>
    <w:rsid w:val="514D16F8"/>
    <w:rsid w:val="51AE5717"/>
    <w:rsid w:val="52124463"/>
    <w:rsid w:val="52511E01"/>
    <w:rsid w:val="52627DAB"/>
    <w:rsid w:val="53287732"/>
    <w:rsid w:val="541F03AC"/>
    <w:rsid w:val="547406A5"/>
    <w:rsid w:val="54CA0AEC"/>
    <w:rsid w:val="55512FE3"/>
    <w:rsid w:val="56B2378D"/>
    <w:rsid w:val="56FE1355"/>
    <w:rsid w:val="570E1B7D"/>
    <w:rsid w:val="587D13BE"/>
    <w:rsid w:val="589658F5"/>
    <w:rsid w:val="591612EA"/>
    <w:rsid w:val="594F2A8B"/>
    <w:rsid w:val="59DD2FE2"/>
    <w:rsid w:val="5A0F6842"/>
    <w:rsid w:val="5A7D1893"/>
    <w:rsid w:val="5AD9194A"/>
    <w:rsid w:val="5AF65560"/>
    <w:rsid w:val="5B4E5095"/>
    <w:rsid w:val="5CD478FD"/>
    <w:rsid w:val="5D246E7A"/>
    <w:rsid w:val="5D431218"/>
    <w:rsid w:val="5D4361AE"/>
    <w:rsid w:val="5E520791"/>
    <w:rsid w:val="5E535EE5"/>
    <w:rsid w:val="5EC6593C"/>
    <w:rsid w:val="5FAA1071"/>
    <w:rsid w:val="5FF655F4"/>
    <w:rsid w:val="6105188D"/>
    <w:rsid w:val="61533A4A"/>
    <w:rsid w:val="61DF2C4E"/>
    <w:rsid w:val="62251304"/>
    <w:rsid w:val="625E14D8"/>
    <w:rsid w:val="63767625"/>
    <w:rsid w:val="64AA535B"/>
    <w:rsid w:val="654939E3"/>
    <w:rsid w:val="65A82464"/>
    <w:rsid w:val="65CC201A"/>
    <w:rsid w:val="65D01B96"/>
    <w:rsid w:val="670648FC"/>
    <w:rsid w:val="68A77392"/>
    <w:rsid w:val="69490586"/>
    <w:rsid w:val="6A6A6FEF"/>
    <w:rsid w:val="6AED50CA"/>
    <w:rsid w:val="6D3214C6"/>
    <w:rsid w:val="6E2E04FD"/>
    <w:rsid w:val="6EA02F2B"/>
    <w:rsid w:val="6EB428FB"/>
    <w:rsid w:val="6EFC09F4"/>
    <w:rsid w:val="6F074403"/>
    <w:rsid w:val="6FA678F9"/>
    <w:rsid w:val="6FF758AD"/>
    <w:rsid w:val="715F4A78"/>
    <w:rsid w:val="72DB02EA"/>
    <w:rsid w:val="72DF0017"/>
    <w:rsid w:val="73E2490F"/>
    <w:rsid w:val="74FE30DA"/>
    <w:rsid w:val="757035C8"/>
    <w:rsid w:val="759D68D9"/>
    <w:rsid w:val="77A071CF"/>
    <w:rsid w:val="782177E9"/>
    <w:rsid w:val="78333C51"/>
    <w:rsid w:val="7A9D0F2F"/>
    <w:rsid w:val="7B3F716E"/>
    <w:rsid w:val="7E116F41"/>
    <w:rsid w:val="7FC661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85"/>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90"/>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299"/>
    <w:qFormat/>
    <w:uiPriority w:val="0"/>
    <w:pPr>
      <w:keepNext/>
      <w:keepLines/>
      <w:spacing w:before="260" w:after="260" w:line="416" w:lineRule="auto"/>
      <w:outlineLvl w:val="2"/>
    </w:pPr>
    <w:rPr>
      <w:b/>
      <w:bCs/>
      <w:sz w:val="32"/>
      <w:szCs w:val="32"/>
    </w:rPr>
  </w:style>
  <w:style w:type="paragraph" w:styleId="6">
    <w:name w:val="heading 4"/>
    <w:basedOn w:val="1"/>
    <w:next w:val="1"/>
    <w:link w:val="158"/>
    <w:qFormat/>
    <w:uiPriority w:val="0"/>
    <w:pPr>
      <w:widowControl/>
      <w:spacing w:before="100" w:beforeAutospacing="1" w:after="100" w:afterAutospacing="1"/>
      <w:jc w:val="left"/>
      <w:outlineLvl w:val="3"/>
    </w:pPr>
    <w:rPr>
      <w:rFonts w:ascii="宋体" w:hAnsi="宋体" w:cs="宋体"/>
      <w:b/>
      <w:bCs/>
      <w:kern w:val="0"/>
      <w:sz w:val="24"/>
    </w:rPr>
  </w:style>
  <w:style w:type="paragraph" w:styleId="7">
    <w:name w:val="heading 5"/>
    <w:basedOn w:val="1"/>
    <w:next w:val="1"/>
    <w:link w:val="272"/>
    <w:qFormat/>
    <w:uiPriority w:val="0"/>
    <w:pPr>
      <w:widowControl/>
      <w:spacing w:before="100" w:beforeAutospacing="1" w:after="100" w:afterAutospacing="1"/>
      <w:jc w:val="left"/>
      <w:outlineLvl w:val="4"/>
    </w:pPr>
    <w:rPr>
      <w:rFonts w:ascii="宋体" w:hAnsi="宋体" w:cs="宋体"/>
      <w:b/>
      <w:bCs/>
      <w:kern w:val="0"/>
      <w:sz w:val="20"/>
      <w:szCs w:val="20"/>
    </w:rPr>
  </w:style>
  <w:style w:type="paragraph" w:styleId="8">
    <w:name w:val="heading 6"/>
    <w:basedOn w:val="9"/>
    <w:next w:val="1"/>
    <w:link w:val="228"/>
    <w:qFormat/>
    <w:uiPriority w:val="0"/>
    <w:pPr>
      <w:keepNext/>
      <w:keepLines/>
      <w:ind w:firstLine="200" w:firstLineChars="200"/>
      <w:outlineLvl w:val="5"/>
    </w:pPr>
    <w:rPr>
      <w:rFonts w:hAnsi="Arial"/>
    </w:rPr>
  </w:style>
  <w:style w:type="paragraph" w:styleId="10">
    <w:name w:val="heading 7"/>
    <w:basedOn w:val="1"/>
    <w:next w:val="1"/>
    <w:link w:val="283"/>
    <w:qFormat/>
    <w:uiPriority w:val="0"/>
    <w:pPr>
      <w:keepNext/>
      <w:keepLines/>
      <w:adjustRightInd w:val="0"/>
      <w:spacing w:line="480" w:lineRule="atLeast"/>
      <w:ind w:left="1425" w:leftChars="175" w:hanging="900" w:hangingChars="300"/>
      <w:textAlignment w:val="baseline"/>
      <w:outlineLvl w:val="6"/>
    </w:pPr>
    <w:rPr>
      <w:rFonts w:eastAsia="仿宋_GB2312"/>
      <w:kern w:val="0"/>
      <w:sz w:val="30"/>
      <w:szCs w:val="20"/>
    </w:rPr>
  </w:style>
  <w:style w:type="paragraph" w:styleId="11">
    <w:name w:val="heading 8"/>
    <w:basedOn w:val="1"/>
    <w:next w:val="1"/>
    <w:link w:val="242"/>
    <w:qFormat/>
    <w:uiPriority w:val="0"/>
    <w:pPr>
      <w:adjustRightInd w:val="0"/>
      <w:spacing w:line="480" w:lineRule="atLeast"/>
      <w:ind w:left="2232" w:leftChars="450" w:hanging="882" w:hangingChars="294"/>
      <w:textAlignment w:val="baseline"/>
      <w:outlineLvl w:val="7"/>
    </w:pPr>
    <w:rPr>
      <w:rFonts w:hAnsi="Arial" w:eastAsia="仿宋_GB2312"/>
      <w:kern w:val="0"/>
      <w:sz w:val="30"/>
      <w:szCs w:val="20"/>
    </w:rPr>
  </w:style>
  <w:style w:type="paragraph" w:styleId="12">
    <w:name w:val="heading 9"/>
    <w:basedOn w:val="1"/>
    <w:next w:val="1"/>
    <w:link w:val="241"/>
    <w:qFormat/>
    <w:uiPriority w:val="0"/>
    <w:pPr>
      <w:keepNext/>
      <w:keepLines/>
      <w:adjustRightInd w:val="0"/>
      <w:spacing w:line="480" w:lineRule="atLeast"/>
      <w:ind w:left="2979" w:leftChars="715" w:hanging="834" w:hangingChars="278"/>
      <w:textAlignment w:val="baseline"/>
      <w:outlineLvl w:val="8"/>
    </w:pPr>
    <w:rPr>
      <w:rFonts w:eastAsia="仿宋_GB2312"/>
      <w:kern w:val="0"/>
      <w:sz w:val="30"/>
      <w:szCs w:val="20"/>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25"/>
    <w:qFormat/>
    <w:uiPriority w:val="0"/>
    <w:pPr>
      <w:spacing w:after="120"/>
    </w:pPr>
  </w:style>
  <w:style w:type="paragraph" w:styleId="9">
    <w:name w:val="Normal Indent"/>
    <w:basedOn w:val="1"/>
    <w:qFormat/>
    <w:uiPriority w:val="0"/>
    <w:pPr>
      <w:adjustRightInd w:val="0"/>
      <w:spacing w:line="480" w:lineRule="atLeast"/>
      <w:ind w:firstLine="600"/>
      <w:textAlignment w:val="baseline"/>
    </w:pPr>
    <w:rPr>
      <w:rFonts w:eastAsia="仿宋_GB2312"/>
      <w:kern w:val="0"/>
      <w:sz w:val="30"/>
      <w:szCs w:val="20"/>
    </w:rPr>
  </w:style>
  <w:style w:type="paragraph" w:styleId="13">
    <w:name w:val="toc 7"/>
    <w:basedOn w:val="1"/>
    <w:next w:val="1"/>
    <w:qFormat/>
    <w:uiPriority w:val="39"/>
    <w:pPr>
      <w:ind w:left="1260"/>
      <w:jc w:val="left"/>
    </w:pPr>
    <w:rPr>
      <w:sz w:val="18"/>
      <w:szCs w:val="18"/>
    </w:rPr>
  </w:style>
  <w:style w:type="paragraph" w:styleId="14">
    <w:name w:val="caption"/>
    <w:basedOn w:val="1"/>
    <w:next w:val="1"/>
    <w:qFormat/>
    <w:uiPriority w:val="0"/>
    <w:rPr>
      <w:rFonts w:ascii="Cambria" w:hAnsi="Cambria" w:eastAsia="黑体"/>
      <w:sz w:val="20"/>
      <w:szCs w:val="20"/>
    </w:rPr>
  </w:style>
  <w:style w:type="paragraph" w:styleId="15">
    <w:name w:val="Document Map"/>
    <w:basedOn w:val="1"/>
    <w:link w:val="162"/>
    <w:qFormat/>
    <w:uiPriority w:val="0"/>
    <w:pPr>
      <w:shd w:val="clear" w:color="auto" w:fill="000080"/>
    </w:pPr>
  </w:style>
  <w:style w:type="paragraph" w:styleId="16">
    <w:name w:val="annotation text"/>
    <w:basedOn w:val="1"/>
    <w:link w:val="305"/>
    <w:qFormat/>
    <w:uiPriority w:val="99"/>
    <w:pPr>
      <w:jc w:val="left"/>
    </w:pPr>
  </w:style>
  <w:style w:type="paragraph" w:styleId="17">
    <w:name w:val="Body Text 3"/>
    <w:basedOn w:val="1"/>
    <w:link w:val="257"/>
    <w:qFormat/>
    <w:uiPriority w:val="0"/>
    <w:pPr>
      <w:spacing w:after="120"/>
    </w:pPr>
    <w:rPr>
      <w:sz w:val="16"/>
      <w:szCs w:val="16"/>
    </w:rPr>
  </w:style>
  <w:style w:type="paragraph" w:styleId="18">
    <w:name w:val="Body Text Indent"/>
    <w:basedOn w:val="1"/>
    <w:link w:val="240"/>
    <w:qFormat/>
    <w:uiPriority w:val="0"/>
    <w:pPr>
      <w:ind w:firstLine="407" w:firstLineChars="200"/>
    </w:pPr>
  </w:style>
  <w:style w:type="paragraph" w:styleId="19">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0">
    <w:name w:val="index 4"/>
    <w:basedOn w:val="1"/>
    <w:next w:val="1"/>
    <w:qFormat/>
    <w:uiPriority w:val="0"/>
    <w:pPr>
      <w:ind w:left="600" w:leftChars="600"/>
    </w:pPr>
  </w:style>
  <w:style w:type="paragraph" w:styleId="21">
    <w:name w:val="toc 5"/>
    <w:basedOn w:val="1"/>
    <w:next w:val="1"/>
    <w:qFormat/>
    <w:uiPriority w:val="39"/>
    <w:pPr>
      <w:ind w:left="840"/>
      <w:jc w:val="left"/>
    </w:pPr>
    <w:rPr>
      <w:sz w:val="18"/>
      <w:szCs w:val="18"/>
    </w:rPr>
  </w:style>
  <w:style w:type="paragraph" w:styleId="22">
    <w:name w:val="toc 3"/>
    <w:basedOn w:val="5"/>
    <w:next w:val="1"/>
    <w:qFormat/>
    <w:uiPriority w:val="39"/>
    <w:pPr>
      <w:keepNext w:val="0"/>
      <w:keepLines w:val="0"/>
      <w:spacing w:before="0" w:after="0" w:line="240" w:lineRule="auto"/>
      <w:ind w:left="420"/>
      <w:jc w:val="left"/>
      <w:outlineLvl w:val="9"/>
    </w:pPr>
    <w:rPr>
      <w:b w:val="0"/>
      <w:bCs w:val="0"/>
      <w:i/>
      <w:iCs/>
      <w:sz w:val="20"/>
      <w:szCs w:val="20"/>
    </w:rPr>
  </w:style>
  <w:style w:type="paragraph" w:styleId="23">
    <w:name w:val="Plain Text"/>
    <w:basedOn w:val="1"/>
    <w:link w:val="202"/>
    <w:qFormat/>
    <w:uiPriority w:val="0"/>
    <w:rPr>
      <w:rFonts w:ascii="宋体" w:hAnsi="Courier New" w:cs="Courier New"/>
      <w:szCs w:val="21"/>
    </w:rPr>
  </w:style>
  <w:style w:type="paragraph" w:styleId="24">
    <w:name w:val="toc 8"/>
    <w:basedOn w:val="1"/>
    <w:next w:val="1"/>
    <w:qFormat/>
    <w:uiPriority w:val="39"/>
    <w:pPr>
      <w:ind w:left="1470"/>
      <w:jc w:val="left"/>
    </w:pPr>
    <w:rPr>
      <w:sz w:val="18"/>
      <w:szCs w:val="18"/>
    </w:rPr>
  </w:style>
  <w:style w:type="paragraph" w:styleId="25">
    <w:name w:val="Date"/>
    <w:basedOn w:val="1"/>
    <w:next w:val="1"/>
    <w:link w:val="166"/>
    <w:qFormat/>
    <w:uiPriority w:val="0"/>
    <w:pPr>
      <w:ind w:left="100" w:leftChars="2500"/>
    </w:pPr>
  </w:style>
  <w:style w:type="paragraph" w:styleId="26">
    <w:name w:val="Body Text Indent 2"/>
    <w:basedOn w:val="1"/>
    <w:link w:val="237"/>
    <w:qFormat/>
    <w:uiPriority w:val="0"/>
    <w:pPr>
      <w:widowControl/>
      <w:spacing w:line="480" w:lineRule="auto"/>
      <w:ind w:firstLine="560"/>
      <w:jc w:val="left"/>
    </w:pPr>
    <w:rPr>
      <w:kern w:val="0"/>
      <w:sz w:val="28"/>
    </w:rPr>
  </w:style>
  <w:style w:type="paragraph" w:styleId="27">
    <w:name w:val="endnote text"/>
    <w:basedOn w:val="1"/>
    <w:link w:val="210"/>
    <w:qFormat/>
    <w:uiPriority w:val="0"/>
    <w:pPr>
      <w:widowControl/>
      <w:snapToGrid w:val="0"/>
      <w:jc w:val="left"/>
    </w:pPr>
    <w:rPr>
      <w:rFonts w:ascii="Arial" w:hAnsi="Arial" w:cs="Arial"/>
      <w:kern w:val="0"/>
      <w:sz w:val="20"/>
      <w:lang w:eastAsia="en-US"/>
    </w:rPr>
  </w:style>
  <w:style w:type="paragraph" w:styleId="28">
    <w:name w:val="Balloon Text"/>
    <w:basedOn w:val="1"/>
    <w:link w:val="205"/>
    <w:qFormat/>
    <w:uiPriority w:val="0"/>
    <w:rPr>
      <w:sz w:val="18"/>
      <w:szCs w:val="18"/>
    </w:rPr>
  </w:style>
  <w:style w:type="paragraph" w:styleId="29">
    <w:name w:val="footer"/>
    <w:basedOn w:val="1"/>
    <w:link w:val="197"/>
    <w:qFormat/>
    <w:uiPriority w:val="99"/>
    <w:pPr>
      <w:tabs>
        <w:tab w:val="center" w:pos="4153"/>
        <w:tab w:val="right" w:pos="8306"/>
      </w:tabs>
      <w:snapToGrid w:val="0"/>
      <w:jc w:val="left"/>
    </w:pPr>
    <w:rPr>
      <w:sz w:val="18"/>
      <w:szCs w:val="18"/>
    </w:rPr>
  </w:style>
  <w:style w:type="paragraph" w:styleId="30">
    <w:name w:val="header"/>
    <w:basedOn w:val="1"/>
    <w:link w:val="291"/>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3"/>
    <w:next w:val="1"/>
    <w:qFormat/>
    <w:uiPriority w:val="39"/>
    <w:pPr>
      <w:keepNext w:val="0"/>
      <w:keepLines w:val="0"/>
      <w:spacing w:before="120" w:after="120" w:line="240" w:lineRule="auto"/>
      <w:jc w:val="left"/>
      <w:outlineLvl w:val="9"/>
    </w:pPr>
    <w:rPr>
      <w:caps/>
      <w:kern w:val="2"/>
      <w:sz w:val="20"/>
      <w:szCs w:val="20"/>
    </w:rPr>
  </w:style>
  <w:style w:type="paragraph" w:styleId="32">
    <w:name w:val="toc 4"/>
    <w:basedOn w:val="6"/>
    <w:next w:val="1"/>
    <w:qFormat/>
    <w:uiPriority w:val="39"/>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33">
    <w:name w:val="Subtitle"/>
    <w:basedOn w:val="1"/>
    <w:link w:val="307"/>
    <w:qFormat/>
    <w:uiPriority w:val="0"/>
    <w:pPr>
      <w:widowControl/>
      <w:jc w:val="center"/>
    </w:pPr>
    <w:rPr>
      <w:kern w:val="0"/>
      <w:sz w:val="20"/>
      <w:u w:val="single"/>
      <w:lang w:eastAsia="en-US"/>
    </w:rPr>
  </w:style>
  <w:style w:type="paragraph" w:styleId="34">
    <w:name w:val="footnote text"/>
    <w:basedOn w:val="1"/>
    <w:link w:val="285"/>
    <w:qFormat/>
    <w:uiPriority w:val="0"/>
    <w:pPr>
      <w:widowControl/>
      <w:snapToGrid w:val="0"/>
      <w:jc w:val="left"/>
    </w:pPr>
    <w:rPr>
      <w:rFonts w:ascii="Arial" w:hAnsi="Arial" w:cs="Arial"/>
      <w:kern w:val="0"/>
      <w:sz w:val="18"/>
      <w:szCs w:val="18"/>
      <w:lang w:eastAsia="en-US"/>
    </w:rPr>
  </w:style>
  <w:style w:type="paragraph" w:styleId="35">
    <w:name w:val="toc 6"/>
    <w:basedOn w:val="1"/>
    <w:next w:val="1"/>
    <w:qFormat/>
    <w:uiPriority w:val="39"/>
    <w:pPr>
      <w:ind w:left="1050"/>
      <w:jc w:val="left"/>
    </w:pPr>
    <w:rPr>
      <w:sz w:val="18"/>
      <w:szCs w:val="18"/>
    </w:rPr>
  </w:style>
  <w:style w:type="paragraph" w:styleId="36">
    <w:name w:val="Body Text Indent 3"/>
    <w:basedOn w:val="1"/>
    <w:link w:val="244"/>
    <w:qFormat/>
    <w:uiPriority w:val="0"/>
    <w:pPr>
      <w:spacing w:line="360" w:lineRule="auto"/>
      <w:ind w:firstLine="280" w:firstLineChars="100"/>
    </w:pPr>
    <w:rPr>
      <w:rFonts w:ascii="宋体" w:hAnsi="宋体"/>
      <w:sz w:val="28"/>
      <w:szCs w:val="28"/>
    </w:rPr>
  </w:style>
  <w:style w:type="paragraph" w:styleId="37">
    <w:name w:val="toc 2"/>
    <w:basedOn w:val="4"/>
    <w:next w:val="1"/>
    <w:qFormat/>
    <w:uiPriority w:val="39"/>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38">
    <w:name w:val="toc 9"/>
    <w:basedOn w:val="1"/>
    <w:next w:val="1"/>
    <w:qFormat/>
    <w:uiPriority w:val="39"/>
    <w:pPr>
      <w:ind w:left="1680"/>
      <w:jc w:val="left"/>
    </w:pPr>
    <w:rPr>
      <w:sz w:val="18"/>
      <w:szCs w:val="18"/>
    </w:rPr>
  </w:style>
  <w:style w:type="paragraph" w:styleId="39">
    <w:name w:val="Body Text 2"/>
    <w:basedOn w:val="1"/>
    <w:link w:val="231"/>
    <w:qFormat/>
    <w:uiPriority w:val="0"/>
    <w:rPr>
      <w:i/>
      <w:iCs/>
      <w:sz w:val="26"/>
    </w:rPr>
  </w:style>
  <w:style w:type="paragraph" w:styleId="40">
    <w:name w:val="HTML Preformatted"/>
    <w:basedOn w:val="1"/>
    <w:link w:val="161"/>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41">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42">
    <w:name w:val="index 1"/>
    <w:basedOn w:val="1"/>
    <w:next w:val="1"/>
    <w:qFormat/>
    <w:uiPriority w:val="0"/>
    <w:pPr>
      <w:spacing w:line="220" w:lineRule="exact"/>
      <w:jc w:val="center"/>
    </w:pPr>
    <w:rPr>
      <w:rFonts w:ascii="仿宋_GB2312" w:eastAsia="仿宋_GB2312"/>
      <w:szCs w:val="21"/>
    </w:rPr>
  </w:style>
  <w:style w:type="paragraph" w:styleId="43">
    <w:name w:val="Title"/>
    <w:basedOn w:val="1"/>
    <w:link w:val="236"/>
    <w:qFormat/>
    <w:uiPriority w:val="0"/>
    <w:pPr>
      <w:widowControl/>
      <w:jc w:val="center"/>
    </w:pPr>
    <w:rPr>
      <w:kern w:val="0"/>
      <w:sz w:val="20"/>
      <w:u w:val="single"/>
      <w:lang w:eastAsia="en-US"/>
    </w:rPr>
  </w:style>
  <w:style w:type="paragraph" w:styleId="44">
    <w:name w:val="annotation subject"/>
    <w:basedOn w:val="16"/>
    <w:next w:val="16"/>
    <w:link w:val="280"/>
    <w:qFormat/>
    <w:uiPriority w:val="0"/>
    <w:rPr>
      <w:b/>
      <w:bCs/>
    </w:rPr>
  </w:style>
  <w:style w:type="table" w:styleId="46">
    <w:name w:val="Table Grid"/>
    <w:basedOn w:val="45"/>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8">
    <w:name w:val="Strong"/>
    <w:qFormat/>
    <w:uiPriority w:val="0"/>
    <w:rPr>
      <w:b/>
      <w:bCs/>
    </w:rPr>
  </w:style>
  <w:style w:type="character" w:styleId="49">
    <w:name w:val="endnote reference"/>
    <w:qFormat/>
    <w:uiPriority w:val="0"/>
    <w:rPr>
      <w:vertAlign w:val="superscript"/>
    </w:rPr>
  </w:style>
  <w:style w:type="character" w:styleId="50">
    <w:name w:val="page number"/>
    <w:basedOn w:val="47"/>
    <w:qFormat/>
    <w:uiPriority w:val="0"/>
  </w:style>
  <w:style w:type="character" w:styleId="51">
    <w:name w:val="FollowedHyperlink"/>
    <w:qFormat/>
    <w:uiPriority w:val="0"/>
    <w:rPr>
      <w:color w:val="800080"/>
      <w:u w:val="single"/>
    </w:rPr>
  </w:style>
  <w:style w:type="character" w:styleId="52">
    <w:name w:val="Emphasis"/>
    <w:qFormat/>
    <w:uiPriority w:val="0"/>
    <w:rPr>
      <w:i/>
      <w:iCs/>
    </w:rPr>
  </w:style>
  <w:style w:type="character" w:styleId="53">
    <w:name w:val="Hyperlink"/>
    <w:basedOn w:val="47"/>
    <w:qFormat/>
    <w:uiPriority w:val="99"/>
    <w:rPr>
      <w:color w:val="0000FF"/>
      <w:u w:val="single"/>
    </w:rPr>
  </w:style>
  <w:style w:type="character" w:styleId="54">
    <w:name w:val="annotation reference"/>
    <w:qFormat/>
    <w:uiPriority w:val="0"/>
    <w:rPr>
      <w:sz w:val="21"/>
      <w:szCs w:val="21"/>
    </w:rPr>
  </w:style>
  <w:style w:type="character" w:styleId="55">
    <w:name w:val="footnote reference"/>
    <w:qFormat/>
    <w:uiPriority w:val="0"/>
    <w:rPr>
      <w:vertAlign w:val="superscript"/>
    </w:rPr>
  </w:style>
  <w:style w:type="paragraph" w:styleId="56">
    <w:name w:val="List Paragraph"/>
    <w:basedOn w:val="1"/>
    <w:qFormat/>
    <w:uiPriority w:val="99"/>
    <w:pPr>
      <w:ind w:firstLine="420" w:firstLineChars="200"/>
    </w:pPr>
    <w:rPr>
      <w:sz w:val="28"/>
      <w:szCs w:val="28"/>
    </w:rPr>
  </w:style>
  <w:style w:type="paragraph" w:customStyle="1" w:styleId="57">
    <w:name w:val="_Style 56"/>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58">
    <w:name w:val="zz"/>
    <w:basedOn w:val="1"/>
    <w:qFormat/>
    <w:uiPriority w:val="0"/>
    <w:pPr>
      <w:widowControl/>
      <w:spacing w:before="30"/>
      <w:jc w:val="right"/>
    </w:pPr>
    <w:rPr>
      <w:rFonts w:ascii="方正书宋简体" w:hAnsi="宋体" w:eastAsia="方正书宋简体"/>
      <w:color w:val="000000"/>
      <w:kern w:val="0"/>
      <w:szCs w:val="21"/>
    </w:rPr>
  </w:style>
  <w:style w:type="paragraph" w:customStyle="1" w:styleId="59">
    <w:name w:val="Char Char Char Char Char Char Char Char Char Char Char Char Char Char Char Char"/>
    <w:basedOn w:val="15"/>
    <w:qFormat/>
    <w:uiPriority w:val="0"/>
    <w:pPr>
      <w:spacing w:line="360" w:lineRule="auto"/>
      <w:ind w:firstLine="200" w:firstLineChars="200"/>
    </w:pPr>
    <w:rPr>
      <w:rFonts w:ascii="Tahoma" w:hAnsi="Tahoma"/>
      <w:sz w:val="24"/>
    </w:rPr>
  </w:style>
  <w:style w:type="paragraph" w:customStyle="1" w:styleId="60">
    <w:name w:val="mtitle"/>
    <w:basedOn w:val="1"/>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61">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62">
    <w:name w:val="1 Char"/>
    <w:basedOn w:val="1"/>
    <w:qFormat/>
    <w:uiPriority w:val="0"/>
    <w:pPr>
      <w:widowControl/>
      <w:spacing w:after="160" w:line="240" w:lineRule="exact"/>
      <w:jc w:val="left"/>
    </w:pPr>
    <w:rPr>
      <w:rFonts w:ascii="Calibri" w:hAnsi="Calibri"/>
      <w:szCs w:val="20"/>
    </w:rPr>
  </w:style>
  <w:style w:type="paragraph" w:customStyle="1" w:styleId="63">
    <w:name w:val="列表段落1"/>
    <w:basedOn w:val="1"/>
    <w:qFormat/>
    <w:uiPriority w:val="34"/>
    <w:pPr>
      <w:ind w:firstLine="420" w:firstLineChars="200"/>
    </w:pPr>
    <w:rPr>
      <w:rFonts w:ascii="Calibri" w:hAnsi="Calibri"/>
    </w:rPr>
  </w:style>
  <w:style w:type="paragraph" w:customStyle="1" w:styleId="64">
    <w:name w:val="Char Char Char Char Char Char Char Char Char Char"/>
    <w:basedOn w:val="15"/>
    <w:qFormat/>
    <w:uiPriority w:val="0"/>
    <w:pPr>
      <w:spacing w:line="360" w:lineRule="auto"/>
      <w:ind w:firstLine="200" w:firstLineChars="200"/>
    </w:pPr>
    <w:rPr>
      <w:rFonts w:ascii="Tahoma" w:hAnsi="Tahoma"/>
      <w:sz w:val="24"/>
    </w:rPr>
  </w:style>
  <w:style w:type="paragraph" w:customStyle="1" w:styleId="65">
    <w:name w:val="样式 标题 3 + (中文) 黑体 小四 非加粗 段前: 7.8 磅 段后: 0 磅 行距: 固定值 20 磅"/>
    <w:basedOn w:val="5"/>
    <w:next w:val="1"/>
    <w:qFormat/>
    <w:uiPriority w:val="0"/>
    <w:pPr>
      <w:spacing w:before="0" w:after="0" w:line="400" w:lineRule="exact"/>
    </w:pPr>
    <w:rPr>
      <w:rFonts w:eastAsia="黑体" w:cs="宋体"/>
      <w:b w:val="0"/>
      <w:bCs w:val="0"/>
      <w:sz w:val="24"/>
      <w:szCs w:val="20"/>
    </w:rPr>
  </w:style>
  <w:style w:type="paragraph" w:customStyle="1" w:styleId="66">
    <w:name w:val="正文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paragraph" w:customStyle="1" w:styleId="67">
    <w:name w:val="TOC 标题2"/>
    <w:basedOn w:val="3"/>
    <w:next w:val="1"/>
    <w:unhideWhenUsed/>
    <w:qFormat/>
    <w:uiPriority w:val="0"/>
    <w:pPr>
      <w:outlineLvl w:val="9"/>
    </w:pPr>
    <w:rPr>
      <w:rFonts w:ascii="Calibri" w:hAnsi="Calibri"/>
    </w:rPr>
  </w:style>
  <w:style w:type="paragraph" w:customStyle="1" w:styleId="68">
    <w:name w:val="样式1"/>
    <w:basedOn w:val="1"/>
    <w:next w:val="6"/>
    <w:qFormat/>
    <w:uiPriority w:val="0"/>
    <w:pPr>
      <w:spacing w:line="360" w:lineRule="auto"/>
      <w:ind w:firstLine="420" w:firstLineChars="200"/>
    </w:pPr>
    <w:rPr>
      <w:rFonts w:ascii="宋体" w:hAnsi="宋体"/>
      <w:szCs w:val="21"/>
    </w:rPr>
  </w:style>
  <w:style w:type="paragraph" w:customStyle="1" w:styleId="69">
    <w:name w:val="列出段落1"/>
    <w:basedOn w:val="1"/>
    <w:qFormat/>
    <w:uiPriority w:val="0"/>
    <w:pPr>
      <w:ind w:firstLine="420" w:firstLineChars="200"/>
    </w:pPr>
    <w:rPr>
      <w:sz w:val="28"/>
      <w:szCs w:val="28"/>
    </w:rPr>
  </w:style>
  <w:style w:type="paragraph" w:customStyle="1" w:styleId="70">
    <w:name w:val="g2"/>
    <w:basedOn w:val="1"/>
    <w:qFormat/>
    <w:uiPriority w:val="0"/>
    <w:pPr>
      <w:widowControl/>
      <w:spacing w:before="100" w:beforeAutospacing="1" w:after="100" w:afterAutospacing="1"/>
      <w:jc w:val="left"/>
    </w:pPr>
    <w:rPr>
      <w:rFonts w:ascii="仿宋_GB2312" w:hAnsi="宋体" w:eastAsia="仿宋_GB2312" w:cs="宋体"/>
      <w:kern w:val="0"/>
      <w:sz w:val="17"/>
      <w:szCs w:val="17"/>
    </w:rPr>
  </w:style>
  <w:style w:type="paragraph" w:customStyle="1" w:styleId="71">
    <w:name w:val="pa-27"/>
    <w:basedOn w:val="1"/>
    <w:qFormat/>
    <w:uiPriority w:val="0"/>
    <w:pPr>
      <w:widowControl/>
      <w:spacing w:line="360" w:lineRule="atLeast"/>
      <w:ind w:firstLine="420"/>
    </w:pPr>
    <w:rPr>
      <w:rFonts w:ascii="宋体" w:hAnsi="宋体" w:cs="宋体"/>
      <w:kern w:val="0"/>
      <w:sz w:val="24"/>
    </w:rPr>
  </w:style>
  <w:style w:type="paragraph" w:customStyle="1" w:styleId="72">
    <w:name w:val="标题1"/>
    <w:basedOn w:val="1"/>
    <w:qFormat/>
    <w:uiPriority w:val="0"/>
    <w:pPr>
      <w:widowControl/>
      <w:spacing w:before="100" w:beforeAutospacing="1" w:after="100" w:afterAutospacing="1"/>
      <w:jc w:val="left"/>
    </w:pPr>
    <w:rPr>
      <w:rFonts w:ascii="宋体" w:hAnsi="宋体" w:cs="宋体"/>
      <w:kern w:val="0"/>
      <w:sz w:val="24"/>
    </w:rPr>
  </w:style>
  <w:style w:type="paragraph" w:customStyle="1" w:styleId="73">
    <w:name w:val="_Style 72"/>
    <w:qFormat/>
    <w:uiPriority w:val="0"/>
    <w:rPr>
      <w:rFonts w:ascii="Times New Roman" w:hAnsi="Times New Roman" w:eastAsia="宋体" w:cs="Times New Roman"/>
      <w:kern w:val="2"/>
      <w:sz w:val="21"/>
      <w:szCs w:val="24"/>
      <w:lang w:val="en-US" w:eastAsia="zh-CN" w:bidi="ar-SA"/>
    </w:rPr>
  </w:style>
  <w:style w:type="paragraph" w:customStyle="1" w:styleId="74">
    <w:name w:val="Char Char1 Char Char Char Char Char Char Char Char Char Char"/>
    <w:basedOn w:val="1"/>
    <w:qFormat/>
    <w:uiPriority w:val="0"/>
    <w:pPr>
      <w:autoSpaceDE w:val="0"/>
      <w:autoSpaceDN w:val="0"/>
      <w:adjustRightInd w:val="0"/>
      <w:ind w:firstLine="482"/>
    </w:pPr>
    <w:rPr>
      <w:rFonts w:ascii="Calibri" w:hAnsi="Calibri"/>
      <w:szCs w:val="20"/>
    </w:rPr>
  </w:style>
  <w:style w:type="paragraph" w:customStyle="1" w:styleId="75">
    <w:name w:val="_Style 3"/>
    <w:qFormat/>
    <w:uiPriority w:val="0"/>
    <w:pPr>
      <w:widowControl w:val="0"/>
      <w:snapToGrid w:val="0"/>
      <w:spacing w:line="360" w:lineRule="auto"/>
    </w:pPr>
    <w:rPr>
      <w:rFonts w:ascii="Calibri" w:hAnsi="Calibri" w:eastAsia="宋体" w:cs="Times New Roman"/>
      <w:snapToGrid w:val="0"/>
      <w:sz w:val="21"/>
      <w:szCs w:val="24"/>
      <w:lang w:val="en-US" w:eastAsia="zh-CN" w:bidi="ar-SA"/>
    </w:rPr>
  </w:style>
  <w:style w:type="paragraph" w:customStyle="1" w:styleId="76">
    <w:name w:val="Char Char Char Char"/>
    <w:basedOn w:val="15"/>
    <w:qFormat/>
    <w:uiPriority w:val="0"/>
    <w:pPr>
      <w:spacing w:line="360" w:lineRule="auto"/>
      <w:ind w:firstLine="200" w:firstLineChars="200"/>
    </w:pPr>
    <w:rPr>
      <w:rFonts w:ascii="Tahoma" w:hAnsi="Tahoma"/>
      <w:sz w:val="24"/>
    </w:rPr>
  </w:style>
  <w:style w:type="paragraph" w:customStyle="1" w:styleId="77">
    <w:name w:val="表格内容"/>
    <w:basedOn w:val="1"/>
    <w:qFormat/>
    <w:uiPriority w:val="0"/>
    <w:pPr>
      <w:suppressLineNumbers/>
      <w:suppressAutoHyphens/>
    </w:pPr>
  </w:style>
  <w:style w:type="paragraph" w:customStyle="1" w:styleId="78">
    <w:name w:val="_Style 90"/>
    <w:next w:val="1"/>
    <w:qFormat/>
    <w:uiPriority w:val="0"/>
    <w:pPr>
      <w:widowControl w:val="0"/>
      <w:jc w:val="both"/>
    </w:pPr>
    <w:rPr>
      <w:rFonts w:ascii="Calibri" w:hAnsi="Calibri" w:eastAsia="宋体" w:cs="Times New Roman"/>
      <w:kern w:val="2"/>
      <w:sz w:val="21"/>
      <w:szCs w:val="24"/>
      <w:lang w:val="en-US" w:eastAsia="zh-CN" w:bidi="ar-SA"/>
    </w:rPr>
  </w:style>
  <w:style w:type="paragraph" w:customStyle="1" w:styleId="79">
    <w:name w:val="标准样式（文件）"/>
    <w:qFormat/>
    <w:uiPriority w:val="0"/>
    <w:pPr>
      <w:widowControl w:val="0"/>
      <w:spacing w:line="600" w:lineRule="exact"/>
      <w:ind w:firstLine="567"/>
    </w:pPr>
    <w:rPr>
      <w:rFonts w:ascii="Calibri" w:hAnsi="Calibri" w:eastAsia="宋体" w:cs="Times New Roman"/>
      <w:sz w:val="28"/>
      <w:lang w:val="en-US" w:eastAsia="zh-CN" w:bidi="ar-SA"/>
    </w:rPr>
  </w:style>
  <w:style w:type="paragraph" w:customStyle="1" w:styleId="80">
    <w:name w:val="_Style 105"/>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styleId="81">
    <w:name w:val="Intense Quote"/>
    <w:basedOn w:val="1"/>
    <w:next w:val="1"/>
    <w:link w:val="275"/>
    <w:qFormat/>
    <w:uiPriority w:val="0"/>
    <w:pPr>
      <w:pBdr>
        <w:bottom w:val="single" w:color="4F81BD" w:sz="4" w:space="4"/>
      </w:pBdr>
      <w:spacing w:before="200" w:after="280"/>
      <w:ind w:left="936" w:right="936"/>
    </w:pPr>
    <w:rPr>
      <w:b/>
      <w:bCs/>
      <w:i/>
      <w:iCs/>
      <w:color w:val="4F81BD"/>
      <w:szCs w:val="22"/>
    </w:rPr>
  </w:style>
  <w:style w:type="paragraph" w:customStyle="1" w:styleId="82">
    <w:name w:val="表体"/>
    <w:basedOn w:val="1"/>
    <w:next w:val="1"/>
    <w:qFormat/>
    <w:uiPriority w:val="0"/>
    <w:pPr>
      <w:spacing w:line="0" w:lineRule="atLeast"/>
    </w:pPr>
    <w:rPr>
      <w:rFonts w:ascii="Calibri" w:hAnsi="Calibri"/>
      <w:b/>
      <w:snapToGrid w:val="0"/>
      <w:szCs w:val="20"/>
    </w:rPr>
  </w:style>
  <w:style w:type="paragraph" w:customStyle="1" w:styleId="83">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lang w:val="en-US" w:eastAsia="zh-CN" w:bidi="ar-SA"/>
    </w:rPr>
  </w:style>
  <w:style w:type="paragraph" w:customStyle="1" w:styleId="84">
    <w:name w:val="pa-34"/>
    <w:basedOn w:val="1"/>
    <w:qFormat/>
    <w:uiPriority w:val="0"/>
    <w:pPr>
      <w:widowControl/>
      <w:spacing w:line="360" w:lineRule="atLeast"/>
      <w:ind w:firstLine="420"/>
      <w:jc w:val="left"/>
    </w:pPr>
    <w:rPr>
      <w:rFonts w:ascii="宋体" w:hAnsi="宋体" w:cs="宋体"/>
      <w:kern w:val="0"/>
      <w:sz w:val="24"/>
    </w:rPr>
  </w:style>
  <w:style w:type="paragraph" w:customStyle="1" w:styleId="85">
    <w:name w:val="g3"/>
    <w:basedOn w:val="1"/>
    <w:qFormat/>
    <w:uiPriority w:val="0"/>
    <w:pPr>
      <w:widowControl/>
      <w:spacing w:before="100" w:beforeAutospacing="1" w:after="100" w:afterAutospacing="1"/>
      <w:jc w:val="left"/>
    </w:pPr>
    <w:rPr>
      <w:rFonts w:ascii="宋体" w:hAnsi="宋体" w:cs="宋体"/>
      <w:kern w:val="0"/>
      <w:sz w:val="24"/>
    </w:rPr>
  </w:style>
  <w:style w:type="paragraph" w:customStyle="1" w:styleId="86">
    <w:name w:val="1"/>
    <w:basedOn w:val="1"/>
    <w:qFormat/>
    <w:uiPriority w:val="0"/>
    <w:pPr>
      <w:widowControl/>
      <w:spacing w:before="100" w:beforeAutospacing="1" w:after="100" w:afterAutospacing="1"/>
      <w:jc w:val="left"/>
    </w:pPr>
    <w:rPr>
      <w:rFonts w:ascii="ˎ̥" w:hAnsi="ˎ̥" w:cs="宋体"/>
      <w:kern w:val="0"/>
      <w:sz w:val="24"/>
    </w:rPr>
  </w:style>
  <w:style w:type="paragraph" w:customStyle="1" w:styleId="87">
    <w:name w:val="p16"/>
    <w:basedOn w:val="1"/>
    <w:qFormat/>
    <w:uiPriority w:val="0"/>
    <w:pPr>
      <w:widowControl/>
    </w:pPr>
    <w:rPr>
      <w:rFonts w:ascii="Calibri" w:hAnsi="Calibri" w:cs="宋体"/>
      <w:kern w:val="0"/>
      <w:szCs w:val="21"/>
    </w:rPr>
  </w:style>
  <w:style w:type="paragraph" w:customStyle="1" w:styleId="88">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89">
    <w:name w:val="l-2"/>
    <w:basedOn w:val="1"/>
    <w:qFormat/>
    <w:uiPriority w:val="0"/>
    <w:pPr>
      <w:widowControl/>
      <w:spacing w:before="100" w:beforeAutospacing="1" w:after="100" w:afterAutospacing="1"/>
      <w:jc w:val="left"/>
    </w:pPr>
    <w:rPr>
      <w:rFonts w:ascii="宋体" w:hAnsi="宋体" w:cs="宋体"/>
      <w:b/>
      <w:bCs/>
      <w:color w:val="000000"/>
      <w:kern w:val="0"/>
      <w:sz w:val="13"/>
      <w:szCs w:val="13"/>
    </w:rPr>
  </w:style>
  <w:style w:type="paragraph" w:customStyle="1" w:styleId="9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91">
    <w:name w:val="标题4"/>
    <w:basedOn w:val="4"/>
    <w:next w:val="20"/>
    <w:link w:val="286"/>
    <w:qFormat/>
    <w:uiPriority w:val="0"/>
    <w:pPr>
      <w:spacing w:line="413" w:lineRule="auto"/>
    </w:pPr>
    <w:rPr>
      <w:rFonts w:ascii="Arial" w:hAnsi="Arial"/>
      <w:kern w:val="0"/>
      <w:sz w:val="24"/>
    </w:rPr>
  </w:style>
  <w:style w:type="paragraph" w:customStyle="1" w:styleId="92">
    <w:name w:val="Char Char"/>
    <w:basedOn w:val="1"/>
    <w:qFormat/>
    <w:uiPriority w:val="0"/>
    <w:pPr>
      <w:widowControl/>
      <w:jc w:val="left"/>
    </w:pPr>
    <w:rPr>
      <w:rFonts w:ascii="Verdana" w:hAnsi="Verdana" w:eastAsia="Times New Roman"/>
      <w:kern w:val="0"/>
      <w:sz w:val="16"/>
      <w:szCs w:val="20"/>
      <w:lang w:eastAsia="en-US"/>
    </w:rPr>
  </w:style>
  <w:style w:type="paragraph" w:customStyle="1" w:styleId="93">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4">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95">
    <w:name w:val="WW-表格内容"/>
    <w:basedOn w:val="1"/>
    <w:qFormat/>
    <w:uiPriority w:val="0"/>
    <w:pPr>
      <w:suppressLineNumbers/>
      <w:suppressAutoHyphens/>
    </w:pPr>
  </w:style>
  <w:style w:type="paragraph" w:customStyle="1" w:styleId="96">
    <w:name w:val="Char"/>
    <w:basedOn w:val="1"/>
    <w:qFormat/>
    <w:uiPriority w:val="0"/>
  </w:style>
  <w:style w:type="paragraph" w:customStyle="1" w:styleId="97">
    <w:name w:val="明显引用11"/>
    <w:basedOn w:val="1"/>
    <w:next w:val="1"/>
    <w:qFormat/>
    <w:uiPriority w:val="30"/>
    <w:pPr>
      <w:pBdr>
        <w:bottom w:val="single" w:color="4F81BD" w:sz="4" w:space="4"/>
      </w:pBdr>
      <w:spacing w:before="200" w:after="280"/>
      <w:ind w:left="936" w:right="936"/>
    </w:pPr>
    <w:rPr>
      <w:rFonts w:ascii="Calibri" w:hAnsi="Calibri"/>
      <w:b/>
      <w:bCs/>
      <w:i/>
      <w:iCs/>
      <w:color w:val="4F81BD"/>
      <w:szCs w:val="22"/>
    </w:rPr>
  </w:style>
  <w:style w:type="paragraph" w:customStyle="1" w:styleId="98">
    <w:name w:val="Normal_47"/>
    <w:qFormat/>
    <w:uiPriority w:val="0"/>
    <w:pPr>
      <w:spacing w:before="120" w:after="240"/>
      <w:jc w:val="both"/>
    </w:pPr>
    <w:rPr>
      <w:rFonts w:ascii="Calibri" w:hAnsi="Calibri" w:eastAsia="Calibri" w:cs="Times New Roman"/>
      <w:sz w:val="22"/>
      <w:szCs w:val="22"/>
      <w:lang w:val="ru-RU" w:eastAsia="en-US" w:bidi="ar-SA"/>
    </w:rPr>
  </w:style>
  <w:style w:type="paragraph" w:customStyle="1" w:styleId="99">
    <w:name w:val="样式15"/>
    <w:basedOn w:val="5"/>
    <w:qFormat/>
    <w:uiPriority w:val="0"/>
    <w:pPr>
      <w:keepNext w:val="0"/>
      <w:keepLines w:val="0"/>
      <w:tabs>
        <w:tab w:val="left" w:pos="0"/>
        <w:tab w:val="left" w:pos="210"/>
        <w:tab w:val="left" w:pos="420"/>
        <w:tab w:val="left" w:pos="1260"/>
      </w:tabs>
      <w:adjustRightInd w:val="0"/>
      <w:spacing w:before="0" w:after="0" w:line="240" w:lineRule="auto"/>
      <w:jc w:val="left"/>
    </w:pPr>
    <w:rPr>
      <w:rFonts w:ascii="仿宋_GB2312" w:hAnsi="Calibri" w:eastAsia="仿宋_GB2312"/>
      <w:bCs w:val="0"/>
      <w:szCs w:val="24"/>
    </w:rPr>
  </w:style>
  <w:style w:type="paragraph" w:customStyle="1" w:styleId="100">
    <w:name w:val="rr"/>
    <w:basedOn w:val="1"/>
    <w:qFormat/>
    <w:uiPriority w:val="0"/>
    <w:pPr>
      <w:widowControl/>
      <w:spacing w:before="100" w:beforeAutospacing="1" w:after="100" w:afterAutospacing="1"/>
      <w:jc w:val="left"/>
    </w:pPr>
    <w:rPr>
      <w:rFonts w:hint="eastAsia" w:ascii="宋体" w:hAnsi="宋体"/>
      <w:kern w:val="0"/>
      <w:szCs w:val="21"/>
    </w:rPr>
  </w:style>
  <w:style w:type="paragraph" w:customStyle="1" w:styleId="101">
    <w:name w:val="Char9 Char Char Char Char Char Char"/>
    <w:basedOn w:val="15"/>
    <w:qFormat/>
    <w:uiPriority w:val="0"/>
    <w:pPr>
      <w:spacing w:line="360" w:lineRule="auto"/>
      <w:ind w:firstLine="200" w:firstLineChars="200"/>
    </w:pPr>
    <w:rPr>
      <w:rFonts w:ascii="Tahoma" w:hAnsi="Tahoma"/>
      <w:sz w:val="24"/>
    </w:rPr>
  </w:style>
  <w:style w:type="paragraph" w:customStyle="1" w:styleId="102">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03">
    <w:name w:val="Default"/>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104">
    <w:name w:val="p15"/>
    <w:basedOn w:val="1"/>
    <w:qFormat/>
    <w:uiPriority w:val="0"/>
    <w:pPr>
      <w:widowControl/>
      <w:spacing w:after="120"/>
    </w:pPr>
    <w:rPr>
      <w:kern w:val="0"/>
      <w:szCs w:val="21"/>
    </w:rPr>
  </w:style>
  <w:style w:type="paragraph" w:customStyle="1" w:styleId="105">
    <w:name w:val="rw"/>
    <w:basedOn w:val="1"/>
    <w:qFormat/>
    <w:uiPriority w:val="0"/>
    <w:pPr>
      <w:widowControl/>
      <w:spacing w:before="30"/>
      <w:ind w:left="100" w:right="100"/>
      <w:jc w:val="right"/>
    </w:pPr>
    <w:rPr>
      <w:rFonts w:ascii="方正仿宋简体" w:hAnsi="宋体" w:eastAsia="方正仿宋简体"/>
      <w:color w:val="000000"/>
      <w:kern w:val="0"/>
      <w:szCs w:val="21"/>
    </w:rPr>
  </w:style>
  <w:style w:type="paragraph" w:customStyle="1" w:styleId="106">
    <w:name w:val="正  文"/>
    <w:basedOn w:val="1"/>
    <w:qFormat/>
    <w:uiPriority w:val="0"/>
    <w:pPr>
      <w:spacing w:line="360" w:lineRule="auto"/>
      <w:ind w:firstLine="200" w:firstLineChars="200"/>
    </w:pPr>
    <w:rPr>
      <w:rFonts w:ascii="宋体" w:hAnsi="Calibri"/>
      <w:sz w:val="24"/>
    </w:rPr>
  </w:style>
  <w:style w:type="paragraph" w:customStyle="1" w:styleId="107">
    <w:name w:val="列出段落11"/>
    <w:basedOn w:val="1"/>
    <w:qFormat/>
    <w:uiPriority w:val="0"/>
    <w:pPr>
      <w:ind w:firstLine="420" w:firstLineChars="200"/>
    </w:pPr>
    <w:rPr>
      <w:sz w:val="28"/>
      <w:szCs w:val="28"/>
    </w:rPr>
  </w:style>
  <w:style w:type="paragraph" w:customStyle="1" w:styleId="108">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09">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10">
    <w:name w:val="_Style 96"/>
    <w:semiHidden/>
    <w:qFormat/>
    <w:uiPriority w:val="99"/>
    <w:rPr>
      <w:rFonts w:ascii="Calibri" w:hAnsi="Calibri" w:eastAsia="宋体" w:cs="Times New Roman"/>
      <w:kern w:val="2"/>
      <w:sz w:val="21"/>
      <w:szCs w:val="24"/>
      <w:lang w:val="en-US" w:eastAsia="zh-CN" w:bidi="ar-SA"/>
    </w:rPr>
  </w:style>
  <w:style w:type="paragraph" w:customStyle="1" w:styleId="111">
    <w:name w:val="表格文字"/>
    <w:basedOn w:val="1"/>
    <w:qFormat/>
    <w:uiPriority w:val="0"/>
    <w:pPr>
      <w:adjustRightInd w:val="0"/>
      <w:spacing w:line="420" w:lineRule="atLeast"/>
      <w:jc w:val="left"/>
      <w:textAlignment w:val="baseline"/>
    </w:pPr>
    <w:rPr>
      <w:kern w:val="0"/>
      <w:szCs w:val="20"/>
    </w:rPr>
  </w:style>
  <w:style w:type="paragraph" w:customStyle="1" w:styleId="112">
    <w:name w:val="表格"/>
    <w:basedOn w:val="1"/>
    <w:qFormat/>
    <w:uiPriority w:val="0"/>
    <w:pPr>
      <w:jc w:val="center"/>
      <w:textAlignment w:val="center"/>
    </w:pPr>
    <w:rPr>
      <w:rFonts w:ascii="华文细黑" w:hAnsi="华文细黑"/>
      <w:kern w:val="0"/>
      <w:szCs w:val="20"/>
    </w:rPr>
  </w:style>
  <w:style w:type="paragraph" w:customStyle="1" w:styleId="113">
    <w:name w:val="Char1"/>
    <w:basedOn w:val="1"/>
    <w:qFormat/>
    <w:uiPriority w:val="0"/>
  </w:style>
  <w:style w:type="paragraph" w:customStyle="1" w:styleId="114">
    <w:name w:val="TOC 标题1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15">
    <w:name w:val="引用2"/>
    <w:basedOn w:val="1"/>
    <w:next w:val="1"/>
    <w:link w:val="238"/>
    <w:qFormat/>
    <w:uiPriority w:val="0"/>
    <w:rPr>
      <w:i/>
      <w:iCs/>
      <w:color w:val="000000"/>
    </w:rPr>
  </w:style>
  <w:style w:type="paragraph" w:customStyle="1" w:styleId="116">
    <w:name w:val="链接"/>
    <w:qFormat/>
    <w:uiPriority w:val="0"/>
    <w:pPr>
      <w:widowControl w:val="0"/>
      <w:autoSpaceDE w:val="0"/>
      <w:autoSpaceDN w:val="0"/>
      <w:adjustRightInd w:val="0"/>
      <w:ind w:left="720"/>
    </w:pPr>
    <w:rPr>
      <w:rFonts w:ascii="Calibri" w:hAnsi="Calibri" w:eastAsia="宋体" w:cs="Times New Roman"/>
      <w:color w:val="0000FF"/>
      <w:sz w:val="21"/>
      <w:szCs w:val="21"/>
      <w:u w:val="single"/>
      <w:lang w:val="en-US" w:eastAsia="zh-CN" w:bidi="ar-SA"/>
    </w:rPr>
  </w:style>
  <w:style w:type="paragraph" w:styleId="117">
    <w:name w:val="Quote"/>
    <w:basedOn w:val="1"/>
    <w:next w:val="1"/>
    <w:link w:val="188"/>
    <w:qFormat/>
    <w:uiPriority w:val="0"/>
    <w:rPr>
      <w:i/>
      <w:iCs/>
      <w:color w:val="000000"/>
      <w:szCs w:val="22"/>
    </w:rPr>
  </w:style>
  <w:style w:type="paragraph" w:customStyle="1" w:styleId="118">
    <w:name w:val="修订1"/>
    <w:qFormat/>
    <w:uiPriority w:val="0"/>
    <w:rPr>
      <w:rFonts w:ascii="Times New Roman" w:hAnsi="Times New Roman" w:eastAsia="宋体" w:cs="Times New Roman"/>
      <w:kern w:val="2"/>
      <w:sz w:val="21"/>
      <w:szCs w:val="24"/>
      <w:lang w:val="en-US" w:eastAsia="zh-CN" w:bidi="ar-SA"/>
    </w:rPr>
  </w:style>
  <w:style w:type="paragraph" w:customStyle="1" w:styleId="119">
    <w:name w:val="xl65"/>
    <w:basedOn w:val="1"/>
    <w:qFormat/>
    <w:uiPriority w:val="0"/>
    <w:pPr>
      <w:widowControl/>
      <w:spacing w:before="100" w:beforeAutospacing="1" w:after="100" w:afterAutospacing="1"/>
      <w:jc w:val="center"/>
    </w:pPr>
    <w:rPr>
      <w:rFonts w:ascii="黑体" w:hAnsi="宋体" w:eastAsia="黑体"/>
      <w:b/>
      <w:kern w:val="0"/>
      <w:sz w:val="36"/>
      <w:szCs w:val="20"/>
    </w:rPr>
  </w:style>
  <w:style w:type="paragraph" w:customStyle="1" w:styleId="120">
    <w:name w:val="Char2"/>
    <w:basedOn w:val="1"/>
    <w:qFormat/>
    <w:uiPriority w:val="0"/>
    <w:rPr>
      <w:rFonts w:ascii="Calibri" w:hAnsi="Calibri"/>
    </w:rPr>
  </w:style>
  <w:style w:type="paragraph" w:customStyle="1" w:styleId="121">
    <w:name w:val="标题5"/>
    <w:basedOn w:val="5"/>
    <w:link w:val="284"/>
    <w:qFormat/>
    <w:uiPriority w:val="0"/>
    <w:pPr>
      <w:spacing w:line="413" w:lineRule="auto"/>
    </w:pPr>
    <w:rPr>
      <w:rFonts w:ascii="Arial" w:hAnsi="Arial"/>
      <w:kern w:val="0"/>
      <w:sz w:val="24"/>
    </w:rPr>
  </w:style>
  <w:style w:type="paragraph" w:styleId="122">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3">
    <w:name w:val="TOC 标题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24">
    <w:name w:val="表格标题"/>
    <w:basedOn w:val="77"/>
    <w:qFormat/>
    <w:uiPriority w:val="0"/>
  </w:style>
  <w:style w:type="paragraph" w:customStyle="1" w:styleId="125">
    <w:name w:val="g11"/>
    <w:basedOn w:val="1"/>
    <w:qFormat/>
    <w:uiPriority w:val="0"/>
    <w:pPr>
      <w:widowControl/>
      <w:spacing w:before="100" w:beforeAutospacing="1" w:after="100" w:afterAutospacing="1" w:line="465" w:lineRule="atLeast"/>
      <w:jc w:val="left"/>
    </w:pPr>
    <w:rPr>
      <w:rFonts w:ascii="华文中宋" w:hAnsi="华文中宋" w:eastAsia="华文中宋" w:cs="宋体"/>
      <w:b/>
      <w:bCs/>
      <w:color w:val="FF0000"/>
      <w:kern w:val="0"/>
      <w:sz w:val="31"/>
      <w:szCs w:val="31"/>
    </w:rPr>
  </w:style>
  <w:style w:type="paragraph" w:customStyle="1" w:styleId="126">
    <w:name w:val="2"/>
    <w:next w:val="1"/>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27">
    <w:name w:val="intel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8">
    <w:name w:val="style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9">
    <w:name w:val="标题2"/>
    <w:basedOn w:val="1"/>
    <w:qFormat/>
    <w:uiPriority w:val="0"/>
    <w:pPr>
      <w:widowControl/>
      <w:spacing w:before="100" w:beforeAutospacing="1" w:after="100" w:afterAutospacing="1"/>
      <w:jc w:val="left"/>
    </w:pPr>
    <w:rPr>
      <w:rFonts w:ascii="宋体" w:hAnsi="宋体" w:cs="宋体"/>
      <w:kern w:val="0"/>
      <w:sz w:val="24"/>
    </w:rPr>
  </w:style>
  <w:style w:type="paragraph" w:customStyle="1" w:styleId="130">
    <w:name w:val="WW-表格标题"/>
    <w:basedOn w:val="95"/>
    <w:qFormat/>
    <w:uiPriority w:val="0"/>
  </w:style>
  <w:style w:type="paragraph" w:customStyle="1" w:styleId="131">
    <w:name w:val="ly"/>
    <w:basedOn w:val="1"/>
    <w:qFormat/>
    <w:uiPriority w:val="0"/>
    <w:pPr>
      <w:widowControl/>
      <w:spacing w:before="30"/>
      <w:jc w:val="right"/>
    </w:pPr>
    <w:rPr>
      <w:rFonts w:ascii="方正书宋简体" w:hAnsi="宋体" w:eastAsia="方正书宋简体"/>
      <w:color w:val="000000"/>
      <w:kern w:val="0"/>
      <w:szCs w:val="21"/>
    </w:rPr>
  </w:style>
  <w:style w:type="paragraph" w:customStyle="1" w:styleId="132">
    <w:name w:val="明显引用1"/>
    <w:basedOn w:val="1"/>
    <w:next w:val="1"/>
    <w:link w:val="248"/>
    <w:qFormat/>
    <w:uiPriority w:val="30"/>
    <w:pPr>
      <w:pBdr>
        <w:bottom w:val="single" w:color="4F81BD" w:sz="4" w:space="4"/>
      </w:pBdr>
      <w:spacing w:before="200" w:after="280"/>
      <w:ind w:left="936" w:right="936"/>
    </w:pPr>
    <w:rPr>
      <w:b/>
      <w:bCs/>
      <w:i/>
      <w:iCs/>
      <w:color w:val="4F81BD"/>
      <w:szCs w:val="20"/>
    </w:rPr>
  </w:style>
  <w:style w:type="paragraph" w:customStyle="1" w:styleId="133">
    <w:name w:val="标准样式1"/>
    <w:basedOn w:val="1"/>
    <w:qFormat/>
    <w:uiPriority w:val="0"/>
    <w:pPr>
      <w:spacing w:line="600" w:lineRule="exact"/>
      <w:ind w:firstLine="567"/>
    </w:pPr>
    <w:rPr>
      <w:rFonts w:ascii="Calibri" w:hAnsi="Calibri"/>
      <w:sz w:val="28"/>
    </w:rPr>
  </w:style>
  <w:style w:type="paragraph" w:customStyle="1" w:styleId="134">
    <w:name w:val="Char3"/>
    <w:basedOn w:val="1"/>
    <w:qFormat/>
    <w:uiPriority w:val="0"/>
  </w:style>
  <w:style w:type="paragraph" w:customStyle="1" w:styleId="135">
    <w:name w:val="p17"/>
    <w:basedOn w:val="1"/>
    <w:qFormat/>
    <w:uiPriority w:val="0"/>
    <w:pPr>
      <w:widowControl/>
      <w:spacing w:before="120" w:after="120"/>
      <w:jc w:val="left"/>
    </w:pPr>
    <w:rPr>
      <w:rFonts w:ascii="Calibri" w:hAnsi="Calibri" w:cs="宋体"/>
      <w:b/>
      <w:bCs/>
      <w:caps/>
      <w:kern w:val="0"/>
      <w:sz w:val="28"/>
      <w:szCs w:val="28"/>
    </w:rPr>
  </w:style>
  <w:style w:type="paragraph" w:customStyle="1" w:styleId="136">
    <w:name w:val="Char Char1 Char Char"/>
    <w:basedOn w:val="15"/>
    <w:qFormat/>
    <w:uiPriority w:val="0"/>
    <w:pPr>
      <w:shd w:val="clear" w:color="auto" w:fill="auto"/>
      <w:tabs>
        <w:tab w:val="left" w:pos="630"/>
      </w:tabs>
      <w:adjustRightInd w:val="0"/>
      <w:spacing w:line="436" w:lineRule="exact"/>
      <w:ind w:left="357"/>
      <w:jc w:val="left"/>
      <w:outlineLvl w:val="3"/>
    </w:pPr>
    <w:rPr>
      <w:rFonts w:ascii="Calibri" w:hAnsi="Calibri" w:eastAsia="Times New Roman"/>
      <w:sz w:val="18"/>
      <w:szCs w:val="20"/>
    </w:rPr>
  </w:style>
  <w:style w:type="paragraph" w:customStyle="1" w:styleId="137">
    <w:name w:val="引用1"/>
    <w:basedOn w:val="1"/>
    <w:next w:val="1"/>
    <w:link w:val="262"/>
    <w:qFormat/>
    <w:uiPriority w:val="29"/>
    <w:rPr>
      <w:i/>
      <w:iCs/>
      <w:color w:val="000000"/>
      <w:szCs w:val="20"/>
    </w:rPr>
  </w:style>
  <w:style w:type="paragraph" w:customStyle="1" w:styleId="138">
    <w:name w:val="_Style 87"/>
    <w:basedOn w:val="1"/>
    <w:qFormat/>
    <w:uiPriority w:val="99"/>
    <w:pPr>
      <w:ind w:firstLine="420" w:firstLineChars="200"/>
    </w:pPr>
    <w:rPr>
      <w:rFonts w:ascii="Calibri" w:hAnsi="Calibri"/>
      <w:sz w:val="28"/>
      <w:szCs w:val="28"/>
    </w:rPr>
  </w:style>
  <w:style w:type="paragraph" w:customStyle="1" w:styleId="139">
    <w:name w:val="自定样式1"/>
    <w:basedOn w:val="1"/>
    <w:qFormat/>
    <w:uiPriority w:val="0"/>
    <w:pPr>
      <w:suppressAutoHyphens/>
      <w:jc w:val="center"/>
    </w:pPr>
    <w:rPr>
      <w:rFonts w:ascii="宋体" w:hAnsi="宋体"/>
      <w:color w:val="000000"/>
      <w:sz w:val="18"/>
    </w:rPr>
  </w:style>
  <w:style w:type="paragraph" w:customStyle="1" w:styleId="140">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41">
    <w:name w:val="样式 标题 2 + Times New Roman 四号 非加粗 段前: 5 磅 段后: 0 磅 行距: 固定值 20..."/>
    <w:basedOn w:val="4"/>
    <w:qFormat/>
    <w:uiPriority w:val="0"/>
    <w:pPr>
      <w:spacing w:before="100" w:after="0" w:line="400" w:lineRule="exact"/>
    </w:pPr>
    <w:rPr>
      <w:rFonts w:ascii="Times New Roman" w:hAnsi="Times New Roman" w:eastAsia="黑体" w:cs="宋体"/>
      <w:b w:val="0"/>
      <w:bCs w:val="0"/>
      <w:sz w:val="28"/>
      <w:szCs w:val="20"/>
    </w:rPr>
  </w:style>
  <w:style w:type="character" w:customStyle="1" w:styleId="142">
    <w:name w:val="未处理的提及"/>
    <w:unhideWhenUsed/>
    <w:qFormat/>
    <w:uiPriority w:val="99"/>
    <w:rPr>
      <w:color w:val="808080"/>
      <w:shd w:val="clear" w:color="auto" w:fill="E6E6E6"/>
    </w:rPr>
  </w:style>
  <w:style w:type="character" w:customStyle="1" w:styleId="143">
    <w:name w:val="正文文本 3 Char"/>
    <w:qFormat/>
    <w:uiPriority w:val="0"/>
    <w:rPr>
      <w:kern w:val="2"/>
      <w:sz w:val="16"/>
      <w:szCs w:val="16"/>
    </w:rPr>
  </w:style>
  <w:style w:type="character" w:customStyle="1" w:styleId="144">
    <w:name w:val="正文文本缩进 Char2"/>
    <w:semiHidden/>
    <w:qFormat/>
    <w:uiPriority w:val="99"/>
    <w:rPr>
      <w:rFonts w:ascii="Calibri" w:hAnsi="Calibri" w:eastAsia="宋体" w:cs="Times New Roman"/>
      <w:szCs w:val="24"/>
    </w:rPr>
  </w:style>
  <w:style w:type="character" w:customStyle="1" w:styleId="145">
    <w:name w:val="标题 3 Char"/>
    <w:qFormat/>
    <w:uiPriority w:val="0"/>
    <w:rPr>
      <w:rFonts w:ascii="仿宋_GB2312" w:hAnsi="Calibri" w:eastAsia="仿宋_GB2312" w:cs="Times New Roman"/>
      <w:b/>
      <w:kern w:val="0"/>
      <w:sz w:val="24"/>
      <w:szCs w:val="28"/>
    </w:rPr>
  </w:style>
  <w:style w:type="character" w:customStyle="1" w:styleId="146">
    <w:name w:val="批注框文本 Char2"/>
    <w:qFormat/>
    <w:uiPriority w:val="99"/>
    <w:rPr>
      <w:kern w:val="2"/>
      <w:sz w:val="18"/>
      <w:szCs w:val="18"/>
    </w:rPr>
  </w:style>
  <w:style w:type="character" w:customStyle="1" w:styleId="147">
    <w:name w:val="textcontents"/>
    <w:qFormat/>
    <w:uiPriority w:val="0"/>
    <w:rPr>
      <w:rFonts w:cs="Times New Roman"/>
    </w:rPr>
  </w:style>
  <w:style w:type="character" w:customStyle="1" w:styleId="148">
    <w:name w:val="ht1"/>
    <w:qFormat/>
    <w:uiPriority w:val="0"/>
    <w:rPr>
      <w:rFonts w:ascii="黑体" w:eastAsia="黑体"/>
      <w:b/>
      <w:bCs/>
    </w:rPr>
  </w:style>
  <w:style w:type="character" w:customStyle="1" w:styleId="149">
    <w:name w:val="标题 Char"/>
    <w:qFormat/>
    <w:uiPriority w:val="0"/>
    <w:rPr>
      <w:rFonts w:ascii="Cambria" w:hAnsi="Cambria" w:eastAsia="宋体" w:cs="Times New Roman"/>
      <w:b/>
      <w:bCs/>
      <w:kern w:val="2"/>
      <w:sz w:val="32"/>
      <w:szCs w:val="32"/>
    </w:rPr>
  </w:style>
  <w:style w:type="character" w:customStyle="1" w:styleId="150">
    <w:name w:val="14t1"/>
    <w:qFormat/>
    <w:uiPriority w:val="0"/>
    <w:rPr>
      <w:rFonts w:hint="eastAsia" w:ascii="宋体" w:hAnsi="宋体" w:eastAsia="宋体"/>
      <w:sz w:val="11"/>
      <w:szCs w:val="11"/>
    </w:rPr>
  </w:style>
  <w:style w:type="character" w:customStyle="1" w:styleId="151">
    <w:name w:val="Char Char36"/>
    <w:qFormat/>
    <w:uiPriority w:val="0"/>
    <w:rPr>
      <w:rFonts w:ascii="仿宋_GB2312" w:eastAsia="仿宋_GB2312" w:cs="MingLiU"/>
      <w:b/>
      <w:sz w:val="24"/>
      <w:szCs w:val="28"/>
    </w:rPr>
  </w:style>
  <w:style w:type="character" w:customStyle="1" w:styleId="152">
    <w:name w:val="文档结构图 Char"/>
    <w:qFormat/>
    <w:uiPriority w:val="0"/>
    <w:rPr>
      <w:rFonts w:ascii="宋体"/>
      <w:kern w:val="2"/>
      <w:sz w:val="18"/>
      <w:szCs w:val="18"/>
    </w:rPr>
  </w:style>
  <w:style w:type="character" w:customStyle="1" w:styleId="153">
    <w:name w:val="普通文字 Char Char2"/>
    <w:qFormat/>
    <w:uiPriority w:val="0"/>
    <w:rPr>
      <w:rFonts w:ascii="宋体" w:hAnsi="Courier New"/>
      <w:kern w:val="2"/>
      <w:sz w:val="28"/>
      <w:szCs w:val="28"/>
    </w:rPr>
  </w:style>
  <w:style w:type="character" w:customStyle="1" w:styleId="154">
    <w:name w:val="HTML 预设格式 Char"/>
    <w:qFormat/>
    <w:uiPriority w:val="0"/>
    <w:rPr>
      <w:rFonts w:ascii="宋体" w:hAnsi="宋体" w:eastAsia="宋体" w:cs="宋体"/>
      <w:color w:val="000000"/>
      <w:sz w:val="24"/>
      <w:szCs w:val="24"/>
    </w:rPr>
  </w:style>
  <w:style w:type="character" w:customStyle="1" w:styleId="155">
    <w:name w:val="纯文本 Char"/>
    <w:qFormat/>
    <w:uiPriority w:val="0"/>
    <w:rPr>
      <w:rFonts w:ascii="宋体" w:hAnsi="Courier New"/>
      <w:sz w:val="28"/>
      <w:szCs w:val="28"/>
    </w:rPr>
  </w:style>
  <w:style w:type="character" w:customStyle="1" w:styleId="156">
    <w:name w:val="批注框文本 Char"/>
    <w:qFormat/>
    <w:uiPriority w:val="0"/>
    <w:rPr>
      <w:sz w:val="18"/>
      <w:szCs w:val="18"/>
    </w:rPr>
  </w:style>
  <w:style w:type="character" w:customStyle="1" w:styleId="157">
    <w:name w:val="页脚 Char"/>
    <w:qFormat/>
    <w:uiPriority w:val="99"/>
    <w:rPr>
      <w:sz w:val="18"/>
      <w:szCs w:val="18"/>
    </w:rPr>
  </w:style>
  <w:style w:type="character" w:customStyle="1" w:styleId="158">
    <w:name w:val="标题 4 Char2"/>
    <w:link w:val="6"/>
    <w:qFormat/>
    <w:uiPriority w:val="0"/>
    <w:rPr>
      <w:rFonts w:ascii="宋体" w:hAnsi="宋体" w:eastAsia="宋体" w:cs="宋体"/>
      <w:b/>
      <w:bCs/>
      <w:sz w:val="24"/>
      <w:szCs w:val="24"/>
      <w:lang w:val="en-US" w:eastAsia="zh-CN" w:bidi="ar-SA"/>
    </w:rPr>
  </w:style>
  <w:style w:type="character" w:customStyle="1" w:styleId="159">
    <w:name w:val="正文文本缩进 3 Char"/>
    <w:qFormat/>
    <w:uiPriority w:val="0"/>
    <w:rPr>
      <w:kern w:val="2"/>
      <w:sz w:val="16"/>
      <w:szCs w:val="16"/>
    </w:rPr>
  </w:style>
  <w:style w:type="character" w:customStyle="1" w:styleId="160">
    <w:name w:val="标题 8 Char"/>
    <w:qFormat/>
    <w:uiPriority w:val="0"/>
    <w:rPr>
      <w:rFonts w:ascii="Arial" w:hAnsi="Arial" w:eastAsia="黑体" w:cs="Times New Roman"/>
      <w:sz w:val="24"/>
      <w:szCs w:val="24"/>
    </w:rPr>
  </w:style>
  <w:style w:type="character" w:customStyle="1" w:styleId="161">
    <w:name w:val="HTML 预设格式 Char3"/>
    <w:link w:val="40"/>
    <w:qFormat/>
    <w:uiPriority w:val="0"/>
    <w:rPr>
      <w:rFonts w:ascii="宋体" w:hAnsi="宋体" w:eastAsia="宋体" w:cs="宋体"/>
      <w:color w:val="000000"/>
      <w:sz w:val="24"/>
      <w:szCs w:val="24"/>
      <w:lang w:val="en-US" w:eastAsia="zh-CN" w:bidi="ar-SA"/>
    </w:rPr>
  </w:style>
  <w:style w:type="character" w:customStyle="1" w:styleId="162">
    <w:name w:val="文档结构图 Char4"/>
    <w:link w:val="15"/>
    <w:qFormat/>
    <w:uiPriority w:val="0"/>
    <w:rPr>
      <w:rFonts w:eastAsia="宋体"/>
      <w:kern w:val="2"/>
      <w:sz w:val="21"/>
      <w:szCs w:val="24"/>
      <w:lang w:val="en-US" w:eastAsia="zh-CN" w:bidi="ar-SA"/>
    </w:rPr>
  </w:style>
  <w:style w:type="character" w:customStyle="1" w:styleId="163">
    <w:name w:val="正文文本缩进 2 Char1"/>
    <w:qFormat/>
    <w:uiPriority w:val="0"/>
    <w:rPr>
      <w:sz w:val="28"/>
      <w:szCs w:val="24"/>
    </w:rPr>
  </w:style>
  <w:style w:type="character" w:customStyle="1" w:styleId="164">
    <w:name w:val="标题 5 Char1"/>
    <w:qFormat/>
    <w:uiPriority w:val="0"/>
    <w:rPr>
      <w:rFonts w:ascii="宋体" w:hAnsi="宋体" w:eastAsia="宋体" w:cs="宋体"/>
      <w:b/>
      <w:bCs/>
      <w:sz w:val="20"/>
      <w:szCs w:val="20"/>
    </w:rPr>
  </w:style>
  <w:style w:type="character" w:customStyle="1" w:styleId="165">
    <w:name w:val="批注文字 Char"/>
    <w:qFormat/>
    <w:uiPriority w:val="0"/>
    <w:rPr>
      <w:rFonts w:ascii="Times New Roman" w:hAnsi="Times New Roman" w:eastAsia="宋体" w:cs="Times New Roman"/>
      <w:kern w:val="2"/>
      <w:sz w:val="21"/>
      <w:szCs w:val="24"/>
    </w:rPr>
  </w:style>
  <w:style w:type="character" w:customStyle="1" w:styleId="166">
    <w:name w:val="日期 Char4"/>
    <w:link w:val="25"/>
    <w:qFormat/>
    <w:uiPriority w:val="0"/>
    <w:rPr>
      <w:rFonts w:eastAsia="宋体"/>
      <w:kern w:val="2"/>
      <w:sz w:val="21"/>
      <w:szCs w:val="24"/>
      <w:lang w:val="en-US" w:eastAsia="zh-CN" w:bidi="ar-SA"/>
    </w:rPr>
  </w:style>
  <w:style w:type="character" w:customStyle="1" w:styleId="167">
    <w:name w:val="style121"/>
    <w:qFormat/>
    <w:uiPriority w:val="0"/>
    <w:rPr>
      <w:rFonts w:hint="eastAsia" w:ascii="宋体" w:hAnsi="宋体" w:eastAsia="宋体"/>
      <w:sz w:val="18"/>
      <w:szCs w:val="18"/>
    </w:rPr>
  </w:style>
  <w:style w:type="character" w:customStyle="1" w:styleId="168">
    <w:name w:val="Section Char"/>
    <w:qFormat/>
    <w:uiPriority w:val="0"/>
    <w:rPr>
      <w:rFonts w:ascii="仿宋_GB2312" w:eastAsia="仿宋_GB2312" w:cs="MingLiU"/>
      <w:b/>
      <w:sz w:val="24"/>
      <w:szCs w:val="28"/>
      <w:lang w:val="en-US" w:eastAsia="zh-CN" w:bidi="ar-SA"/>
    </w:rPr>
  </w:style>
  <w:style w:type="character" w:customStyle="1" w:styleId="169">
    <w:name w:val="正文文本 3 Char1"/>
    <w:qFormat/>
    <w:uiPriority w:val="0"/>
    <w:rPr>
      <w:kern w:val="2"/>
      <w:sz w:val="16"/>
      <w:szCs w:val="16"/>
    </w:rPr>
  </w:style>
  <w:style w:type="character" w:customStyle="1" w:styleId="170">
    <w:name w:val="文档结构图 Char1"/>
    <w:qFormat/>
    <w:uiPriority w:val="0"/>
    <w:rPr>
      <w:rFonts w:ascii="宋体"/>
      <w:kern w:val="2"/>
      <w:sz w:val="18"/>
      <w:szCs w:val="18"/>
    </w:rPr>
  </w:style>
  <w:style w:type="character" w:customStyle="1" w:styleId="171">
    <w:name w:val="_Style 170"/>
    <w:qFormat/>
    <w:uiPriority w:val="0"/>
    <w:rPr>
      <w:i/>
      <w:iCs/>
      <w:color w:val="808080"/>
    </w:rPr>
  </w:style>
  <w:style w:type="character" w:customStyle="1" w:styleId="172">
    <w:name w:val="_Style 171"/>
    <w:qFormat/>
    <w:uiPriority w:val="0"/>
    <w:rPr>
      <w:b/>
      <w:bCs/>
      <w:smallCaps/>
      <w:color w:val="C0504D"/>
      <w:spacing w:val="5"/>
      <w:u w:val="single"/>
    </w:rPr>
  </w:style>
  <w:style w:type="character" w:customStyle="1" w:styleId="173">
    <w:name w:val="标题 9 Char"/>
    <w:qFormat/>
    <w:uiPriority w:val="0"/>
    <w:rPr>
      <w:rFonts w:ascii="Arial" w:hAnsi="Arial" w:eastAsia="黑体" w:cs="Times New Roman"/>
      <w:szCs w:val="21"/>
    </w:rPr>
  </w:style>
  <w:style w:type="character" w:customStyle="1" w:styleId="174">
    <w:name w:val="页眉 Char1"/>
    <w:semiHidden/>
    <w:qFormat/>
    <w:uiPriority w:val="99"/>
    <w:rPr>
      <w:kern w:val="2"/>
      <w:sz w:val="18"/>
      <w:szCs w:val="18"/>
    </w:rPr>
  </w:style>
  <w:style w:type="character" w:customStyle="1" w:styleId="175">
    <w:name w:val="_Style 174"/>
    <w:qFormat/>
    <w:uiPriority w:val="0"/>
    <w:rPr>
      <w:b/>
      <w:bCs/>
      <w:i/>
      <w:iCs/>
      <w:color w:val="4F81BD"/>
    </w:rPr>
  </w:style>
  <w:style w:type="character" w:customStyle="1" w:styleId="176">
    <w:name w:val="Char Char35"/>
    <w:qFormat/>
    <w:uiPriority w:val="0"/>
    <w:rPr>
      <w:rFonts w:ascii="仿宋_GB2312" w:eastAsia="仿宋_GB2312" w:cs="MingLiU"/>
      <w:b/>
      <w:sz w:val="24"/>
      <w:szCs w:val="28"/>
    </w:rPr>
  </w:style>
  <w:style w:type="character" w:customStyle="1" w:styleId="177">
    <w:name w:val="日期 Char2"/>
    <w:qFormat/>
    <w:uiPriority w:val="99"/>
    <w:rPr>
      <w:kern w:val="2"/>
      <w:sz w:val="21"/>
      <w:szCs w:val="24"/>
    </w:rPr>
  </w:style>
  <w:style w:type="character" w:customStyle="1" w:styleId="178">
    <w:name w:val="Char Char22"/>
    <w:qFormat/>
    <w:uiPriority w:val="0"/>
    <w:rPr>
      <w:b/>
      <w:bCs/>
      <w:kern w:val="2"/>
      <w:sz w:val="32"/>
      <w:szCs w:val="32"/>
    </w:rPr>
  </w:style>
  <w:style w:type="character" w:customStyle="1" w:styleId="179">
    <w:name w:val="正文文本缩进 2 Char2"/>
    <w:semiHidden/>
    <w:qFormat/>
    <w:uiPriority w:val="99"/>
    <w:rPr>
      <w:rFonts w:ascii="Calibri" w:hAnsi="Calibri" w:eastAsia="宋体" w:cs="Times New Roman"/>
      <w:szCs w:val="24"/>
    </w:rPr>
  </w:style>
  <w:style w:type="character" w:customStyle="1" w:styleId="180">
    <w:name w:val="明显强调1"/>
    <w:qFormat/>
    <w:uiPriority w:val="0"/>
    <w:rPr>
      <w:b/>
      <w:bCs/>
      <w:i/>
      <w:iCs/>
      <w:color w:val="4F81BD"/>
    </w:rPr>
  </w:style>
  <w:style w:type="character" w:customStyle="1" w:styleId="181">
    <w:name w:val="Char Char14"/>
    <w:qFormat/>
    <w:uiPriority w:val="0"/>
    <w:rPr>
      <w:kern w:val="2"/>
      <w:sz w:val="18"/>
      <w:szCs w:val="18"/>
    </w:rPr>
  </w:style>
  <w:style w:type="character" w:customStyle="1" w:styleId="182">
    <w:name w:val="s3"/>
    <w:qFormat/>
    <w:uiPriority w:val="0"/>
  </w:style>
  <w:style w:type="character" w:customStyle="1" w:styleId="183">
    <w:name w:val="标题 1 Char"/>
    <w:qFormat/>
    <w:uiPriority w:val="0"/>
    <w:rPr>
      <w:rFonts w:ascii="Times New Roman" w:hAnsi="Times New Roman" w:eastAsia="宋体" w:cs="Times New Roman"/>
      <w:b/>
      <w:bCs/>
      <w:kern w:val="44"/>
      <w:sz w:val="44"/>
      <w:szCs w:val="44"/>
    </w:rPr>
  </w:style>
  <w:style w:type="character" w:customStyle="1" w:styleId="184">
    <w:name w:val="日期 Char3"/>
    <w:semiHidden/>
    <w:qFormat/>
    <w:uiPriority w:val="99"/>
    <w:rPr>
      <w:rFonts w:ascii="Calibri" w:hAnsi="Calibri" w:eastAsia="宋体" w:cs="Times New Roman"/>
      <w:szCs w:val="24"/>
    </w:rPr>
  </w:style>
  <w:style w:type="character" w:customStyle="1" w:styleId="185">
    <w:name w:val="标题 1 Char2"/>
    <w:link w:val="3"/>
    <w:qFormat/>
    <w:uiPriority w:val="0"/>
    <w:rPr>
      <w:rFonts w:eastAsia="宋体"/>
      <w:b/>
      <w:bCs/>
      <w:kern w:val="44"/>
      <w:sz w:val="44"/>
      <w:szCs w:val="44"/>
      <w:lang w:val="en-US" w:eastAsia="zh-CN" w:bidi="ar-SA"/>
    </w:rPr>
  </w:style>
  <w:style w:type="character" w:customStyle="1" w:styleId="186">
    <w:name w:val="title11"/>
    <w:qFormat/>
    <w:uiPriority w:val="0"/>
    <w:rPr>
      <w:b/>
      <w:bCs/>
      <w:color w:val="FFFFFF"/>
      <w:sz w:val="11"/>
      <w:szCs w:val="11"/>
    </w:rPr>
  </w:style>
  <w:style w:type="character" w:customStyle="1" w:styleId="187">
    <w:name w:val="明显引用 Char2"/>
    <w:qFormat/>
    <w:uiPriority w:val="99"/>
    <w:rPr>
      <w:b/>
      <w:bCs/>
      <w:i/>
      <w:iCs/>
      <w:color w:val="4F81BD"/>
      <w:kern w:val="2"/>
      <w:sz w:val="21"/>
      <w:szCs w:val="24"/>
    </w:rPr>
  </w:style>
  <w:style w:type="character" w:customStyle="1" w:styleId="188">
    <w:name w:val="引用 Char4"/>
    <w:link w:val="117"/>
    <w:qFormat/>
    <w:uiPriority w:val="0"/>
    <w:rPr>
      <w:i/>
      <w:iCs/>
      <w:color w:val="000000"/>
      <w:kern w:val="2"/>
      <w:sz w:val="21"/>
      <w:szCs w:val="22"/>
      <w:lang w:bidi="ar-SA"/>
    </w:rPr>
  </w:style>
  <w:style w:type="character" w:customStyle="1" w:styleId="189">
    <w:name w:val="批注框文本 Char3"/>
    <w:semiHidden/>
    <w:qFormat/>
    <w:uiPriority w:val="99"/>
    <w:rPr>
      <w:rFonts w:ascii="Calibri" w:hAnsi="Calibri" w:eastAsia="宋体" w:cs="Times New Roman"/>
      <w:sz w:val="18"/>
      <w:szCs w:val="18"/>
    </w:rPr>
  </w:style>
  <w:style w:type="character" w:customStyle="1" w:styleId="190">
    <w:name w:val="标题 2 Char2"/>
    <w:link w:val="4"/>
    <w:qFormat/>
    <w:uiPriority w:val="0"/>
    <w:rPr>
      <w:rFonts w:ascii="Cambria" w:hAnsi="Cambria" w:eastAsia="宋体"/>
      <w:b/>
      <w:bCs/>
      <w:kern w:val="2"/>
      <w:sz w:val="32"/>
      <w:szCs w:val="32"/>
      <w:lang w:val="en-US" w:eastAsia="zh-CN" w:bidi="ar-SA"/>
    </w:rPr>
  </w:style>
  <w:style w:type="character" w:customStyle="1" w:styleId="191">
    <w:name w:val="Char Char33"/>
    <w:qFormat/>
    <w:uiPriority w:val="0"/>
    <w:rPr>
      <w:rFonts w:ascii="仿宋_GB2312" w:eastAsia="仿宋_GB2312" w:cs="MingLiU"/>
      <w:b/>
      <w:sz w:val="24"/>
      <w:szCs w:val="28"/>
    </w:rPr>
  </w:style>
  <w:style w:type="character" w:customStyle="1" w:styleId="192">
    <w:name w:val="标题 2 Char"/>
    <w:qFormat/>
    <w:uiPriority w:val="0"/>
    <w:rPr>
      <w:rFonts w:ascii="仿宋_GB2312" w:hAnsi="Calibri" w:eastAsia="仿宋_GB2312" w:cs="Times New Roman"/>
      <w:b/>
      <w:spacing w:val="1"/>
      <w:w w:val="99"/>
      <w:kern w:val="0"/>
      <w:sz w:val="28"/>
      <w:szCs w:val="32"/>
    </w:rPr>
  </w:style>
  <w:style w:type="character" w:customStyle="1" w:styleId="193">
    <w:name w:val="l1"/>
    <w:basedOn w:val="47"/>
    <w:qFormat/>
    <w:uiPriority w:val="0"/>
  </w:style>
  <w:style w:type="character" w:customStyle="1" w:styleId="194">
    <w:name w:val="手改 Char Char"/>
    <w:qFormat/>
    <w:uiPriority w:val="0"/>
    <w:rPr>
      <w:kern w:val="2"/>
      <w:sz w:val="21"/>
      <w:szCs w:val="24"/>
    </w:rPr>
  </w:style>
  <w:style w:type="character" w:customStyle="1" w:styleId="195">
    <w:name w:val="style21"/>
    <w:qFormat/>
    <w:uiPriority w:val="0"/>
    <w:rPr>
      <w:b/>
      <w:bCs/>
      <w:sz w:val="28"/>
      <w:szCs w:val="28"/>
    </w:rPr>
  </w:style>
  <w:style w:type="character" w:customStyle="1" w:styleId="196">
    <w:name w:val="Char Char24"/>
    <w:qFormat/>
    <w:uiPriority w:val="0"/>
    <w:rPr>
      <w:b/>
      <w:bCs/>
      <w:kern w:val="44"/>
      <w:sz w:val="44"/>
      <w:szCs w:val="44"/>
    </w:rPr>
  </w:style>
  <w:style w:type="character" w:customStyle="1" w:styleId="197">
    <w:name w:val="页脚 Char2"/>
    <w:link w:val="29"/>
    <w:qFormat/>
    <w:uiPriority w:val="0"/>
    <w:rPr>
      <w:rFonts w:eastAsia="宋体"/>
      <w:kern w:val="2"/>
      <w:sz w:val="18"/>
      <w:szCs w:val="18"/>
      <w:lang w:val="en-US" w:eastAsia="zh-CN" w:bidi="ar-SA"/>
    </w:rPr>
  </w:style>
  <w:style w:type="character" w:customStyle="1" w:styleId="198">
    <w:name w:val="_Style 197"/>
    <w:qFormat/>
    <w:uiPriority w:val="0"/>
    <w:rPr>
      <w:b/>
      <w:bCs/>
      <w:smallCaps/>
      <w:spacing w:val="5"/>
    </w:rPr>
  </w:style>
  <w:style w:type="character" w:customStyle="1" w:styleId="199">
    <w:name w:val="纯文本 Char1"/>
    <w:qFormat/>
    <w:uiPriority w:val="0"/>
    <w:rPr>
      <w:rFonts w:ascii="宋体" w:hAnsi="Courier New" w:cs="Courier New"/>
      <w:kern w:val="2"/>
      <w:sz w:val="21"/>
      <w:szCs w:val="21"/>
    </w:rPr>
  </w:style>
  <w:style w:type="character" w:customStyle="1" w:styleId="200">
    <w:name w:val="尾注文本 Char"/>
    <w:qFormat/>
    <w:uiPriority w:val="0"/>
    <w:rPr>
      <w:kern w:val="2"/>
      <w:sz w:val="21"/>
      <w:szCs w:val="24"/>
    </w:rPr>
  </w:style>
  <w:style w:type="character" w:customStyle="1" w:styleId="201">
    <w:name w:val="日期 Char1"/>
    <w:qFormat/>
    <w:uiPriority w:val="0"/>
    <w:rPr>
      <w:kern w:val="2"/>
      <w:sz w:val="21"/>
      <w:szCs w:val="22"/>
    </w:rPr>
  </w:style>
  <w:style w:type="character" w:customStyle="1" w:styleId="202">
    <w:name w:val="纯文本 Char3"/>
    <w:link w:val="23"/>
    <w:qFormat/>
    <w:uiPriority w:val="0"/>
    <w:rPr>
      <w:rFonts w:ascii="宋体" w:hAnsi="Courier New" w:eastAsia="宋体" w:cs="Courier New"/>
      <w:kern w:val="2"/>
      <w:sz w:val="21"/>
      <w:szCs w:val="21"/>
      <w:lang w:val="en-US" w:eastAsia="zh-CN" w:bidi="ar-SA"/>
    </w:rPr>
  </w:style>
  <w:style w:type="character" w:customStyle="1" w:styleId="203">
    <w:name w:val="正文文本 Char1"/>
    <w:qFormat/>
    <w:uiPriority w:val="0"/>
    <w:rPr>
      <w:kern w:val="2"/>
      <w:sz w:val="21"/>
      <w:szCs w:val="22"/>
    </w:rPr>
  </w:style>
  <w:style w:type="character" w:customStyle="1" w:styleId="204">
    <w:name w:val="标题 9 Char1"/>
    <w:qFormat/>
    <w:uiPriority w:val="0"/>
    <w:rPr>
      <w:rFonts w:ascii="Times New Roman" w:hAnsi="Times New Roman" w:eastAsia="仿宋_GB2312" w:cs="Times New Roman"/>
      <w:sz w:val="30"/>
      <w:szCs w:val="20"/>
    </w:rPr>
  </w:style>
  <w:style w:type="character" w:customStyle="1" w:styleId="205">
    <w:name w:val="批注框文本 Char4"/>
    <w:link w:val="28"/>
    <w:qFormat/>
    <w:uiPriority w:val="0"/>
    <w:rPr>
      <w:rFonts w:eastAsia="宋体"/>
      <w:kern w:val="2"/>
      <w:sz w:val="18"/>
      <w:szCs w:val="18"/>
      <w:lang w:val="en-US" w:eastAsia="zh-CN" w:bidi="ar-SA"/>
    </w:rPr>
  </w:style>
  <w:style w:type="character" w:customStyle="1" w:styleId="206">
    <w:name w:val="脚注文本 Char1"/>
    <w:qFormat/>
    <w:uiPriority w:val="0"/>
    <w:rPr>
      <w:rFonts w:ascii="Arial" w:hAnsi="Arial" w:cs="Arial"/>
      <w:sz w:val="18"/>
      <w:szCs w:val="18"/>
      <w:lang w:eastAsia="en-US"/>
    </w:rPr>
  </w:style>
  <w:style w:type="character" w:customStyle="1" w:styleId="207">
    <w:name w:val="正文文本缩进 Char"/>
    <w:qFormat/>
    <w:uiPriority w:val="0"/>
    <w:rPr>
      <w:rFonts w:ascii="黑体" w:hAnsi="宋体" w:eastAsia="黑体"/>
      <w:color w:val="000000"/>
      <w:sz w:val="28"/>
      <w:szCs w:val="32"/>
    </w:rPr>
  </w:style>
  <w:style w:type="character" w:customStyle="1" w:styleId="208">
    <w:name w:val="HTML 预设格式 Char1"/>
    <w:qFormat/>
    <w:uiPriority w:val="0"/>
    <w:rPr>
      <w:rFonts w:ascii="宋体" w:hAnsi="宋体" w:cs="宋体"/>
      <w:color w:val="000000"/>
      <w:sz w:val="24"/>
      <w:szCs w:val="24"/>
    </w:rPr>
  </w:style>
  <w:style w:type="character" w:customStyle="1" w:styleId="209">
    <w:name w:val="引用 Char3"/>
    <w:qFormat/>
    <w:uiPriority w:val="29"/>
    <w:rPr>
      <w:rFonts w:ascii="Calibri" w:hAnsi="Calibri" w:eastAsia="宋体" w:cs="Times New Roman"/>
      <w:i/>
      <w:iCs/>
      <w:color w:val="000000"/>
      <w:szCs w:val="24"/>
    </w:rPr>
  </w:style>
  <w:style w:type="character" w:customStyle="1" w:styleId="210">
    <w:name w:val="尾注文本 Char3"/>
    <w:link w:val="27"/>
    <w:qFormat/>
    <w:uiPriority w:val="0"/>
    <w:rPr>
      <w:rFonts w:ascii="Arial" w:hAnsi="Arial" w:eastAsia="宋体" w:cs="Arial"/>
      <w:szCs w:val="24"/>
      <w:lang w:val="en-US" w:eastAsia="en-US" w:bidi="ar-SA"/>
    </w:rPr>
  </w:style>
  <w:style w:type="character" w:customStyle="1" w:styleId="211">
    <w:name w:val="标题 7 Char1"/>
    <w:qFormat/>
    <w:uiPriority w:val="0"/>
    <w:rPr>
      <w:rFonts w:ascii="Times New Roman" w:hAnsi="Times New Roman" w:eastAsia="仿宋_GB2312" w:cs="Times New Roman"/>
      <w:sz w:val="30"/>
      <w:szCs w:val="20"/>
    </w:rPr>
  </w:style>
  <w:style w:type="character" w:customStyle="1" w:styleId="212">
    <w:name w:val="普通文字 Char Char1"/>
    <w:qFormat/>
    <w:uiPriority w:val="0"/>
    <w:rPr>
      <w:rFonts w:ascii="宋体" w:hAnsi="Courier New"/>
      <w:kern w:val="2"/>
      <w:sz w:val="28"/>
      <w:szCs w:val="28"/>
    </w:rPr>
  </w:style>
  <w:style w:type="character" w:customStyle="1" w:styleId="213">
    <w:name w:val="明显参考1"/>
    <w:qFormat/>
    <w:uiPriority w:val="0"/>
    <w:rPr>
      <w:b/>
      <w:bCs/>
      <w:smallCaps/>
      <w:color w:val="C0504D"/>
      <w:spacing w:val="5"/>
      <w:u w:val="single"/>
    </w:rPr>
  </w:style>
  <w:style w:type="character" w:customStyle="1" w:styleId="214">
    <w:name w:val="正文文本缩进 Char1"/>
    <w:qFormat/>
    <w:uiPriority w:val="0"/>
    <w:rPr>
      <w:kern w:val="2"/>
      <w:sz w:val="21"/>
      <w:szCs w:val="24"/>
    </w:rPr>
  </w:style>
  <w:style w:type="character" w:customStyle="1" w:styleId="215">
    <w:name w:val="页眉 Char"/>
    <w:qFormat/>
    <w:uiPriority w:val="0"/>
    <w:rPr>
      <w:sz w:val="18"/>
      <w:szCs w:val="18"/>
    </w:rPr>
  </w:style>
  <w:style w:type="character" w:customStyle="1" w:styleId="216">
    <w:name w:val="style31"/>
    <w:qFormat/>
    <w:uiPriority w:val="0"/>
    <w:rPr>
      <w:sz w:val="10"/>
      <w:szCs w:val="10"/>
    </w:rPr>
  </w:style>
  <w:style w:type="character" w:customStyle="1" w:styleId="217">
    <w:name w:val="日期 Char"/>
    <w:qFormat/>
    <w:uiPriority w:val="0"/>
    <w:rPr>
      <w:rFonts w:eastAsia="宋体"/>
      <w:szCs w:val="24"/>
    </w:rPr>
  </w:style>
  <w:style w:type="character" w:customStyle="1" w:styleId="218">
    <w:name w:val="标题 1 Char1"/>
    <w:qFormat/>
    <w:uiPriority w:val="0"/>
    <w:rPr>
      <w:rFonts w:ascii="Times New Roman" w:hAnsi="Times New Roman" w:eastAsia="宋体" w:cs="Times New Roman"/>
      <w:b/>
      <w:bCs/>
      <w:kern w:val="44"/>
      <w:sz w:val="44"/>
      <w:szCs w:val="44"/>
    </w:rPr>
  </w:style>
  <w:style w:type="character" w:customStyle="1" w:styleId="219">
    <w:name w:val="main_tdbg_7601"/>
    <w:qFormat/>
    <w:uiPriority w:val="0"/>
    <w:rPr>
      <w:sz w:val="14"/>
      <w:szCs w:val="14"/>
    </w:rPr>
  </w:style>
  <w:style w:type="character" w:customStyle="1" w:styleId="220">
    <w:name w:val="尾注文本 Char1"/>
    <w:qFormat/>
    <w:uiPriority w:val="0"/>
    <w:rPr>
      <w:rFonts w:ascii="Arial" w:hAnsi="Arial" w:cs="Arial"/>
      <w:szCs w:val="24"/>
      <w:lang w:eastAsia="en-US"/>
    </w:rPr>
  </w:style>
  <w:style w:type="character" w:customStyle="1" w:styleId="221">
    <w:name w:val="副标题 Char2"/>
    <w:qFormat/>
    <w:uiPriority w:val="11"/>
    <w:rPr>
      <w:rFonts w:ascii="Cambria" w:hAnsi="Cambria" w:eastAsia="宋体" w:cs="Times New Roman"/>
      <w:b/>
      <w:bCs/>
      <w:kern w:val="28"/>
      <w:sz w:val="32"/>
      <w:szCs w:val="32"/>
    </w:rPr>
  </w:style>
  <w:style w:type="character" w:customStyle="1" w:styleId="222">
    <w:name w:val="正文文本缩进 3 Char2"/>
    <w:semiHidden/>
    <w:qFormat/>
    <w:uiPriority w:val="99"/>
    <w:rPr>
      <w:rFonts w:ascii="Calibri" w:hAnsi="Calibri" w:eastAsia="宋体" w:cs="Times New Roman"/>
      <w:sz w:val="16"/>
      <w:szCs w:val="16"/>
    </w:rPr>
  </w:style>
  <w:style w:type="character" w:customStyle="1" w:styleId="223">
    <w:name w:val="Char Char34"/>
    <w:qFormat/>
    <w:uiPriority w:val="0"/>
    <w:rPr>
      <w:rFonts w:ascii="仿宋_GB2312" w:eastAsia="仿宋_GB2312" w:cs="MingLiU"/>
      <w:b/>
      <w:spacing w:val="1"/>
      <w:w w:val="99"/>
      <w:sz w:val="28"/>
      <w:szCs w:val="32"/>
    </w:rPr>
  </w:style>
  <w:style w:type="character" w:customStyle="1" w:styleId="224">
    <w:name w:val="docpro"/>
    <w:basedOn w:val="47"/>
    <w:qFormat/>
    <w:uiPriority w:val="0"/>
  </w:style>
  <w:style w:type="character" w:customStyle="1" w:styleId="225">
    <w:name w:val="正文文本 Char4"/>
    <w:link w:val="2"/>
    <w:qFormat/>
    <w:uiPriority w:val="0"/>
    <w:rPr>
      <w:rFonts w:eastAsia="宋体"/>
      <w:kern w:val="2"/>
      <w:sz w:val="21"/>
      <w:szCs w:val="24"/>
      <w:lang w:val="en-US" w:eastAsia="zh-CN" w:bidi="ar-SA"/>
    </w:rPr>
  </w:style>
  <w:style w:type="character" w:customStyle="1" w:styleId="226">
    <w:name w:val="ITTHEADER1 Char"/>
    <w:qFormat/>
    <w:uiPriority w:val="0"/>
    <w:rPr>
      <w:rFonts w:eastAsia="黑体"/>
      <w:kern w:val="2"/>
      <w:sz w:val="44"/>
      <w:szCs w:val="44"/>
      <w:lang w:val="en-US" w:eastAsia="zh-CN" w:bidi="ar-SA"/>
    </w:rPr>
  </w:style>
  <w:style w:type="character" w:customStyle="1" w:styleId="227">
    <w:name w:val="副标题 Char"/>
    <w:qFormat/>
    <w:uiPriority w:val="0"/>
    <w:rPr>
      <w:rFonts w:ascii="Cambria" w:hAnsi="Cambria" w:eastAsia="宋体" w:cs="Times New Roman"/>
      <w:b/>
      <w:bCs/>
      <w:kern w:val="28"/>
      <w:sz w:val="32"/>
      <w:szCs w:val="32"/>
    </w:rPr>
  </w:style>
  <w:style w:type="character" w:customStyle="1" w:styleId="228">
    <w:name w:val="标题 6 Char2"/>
    <w:link w:val="8"/>
    <w:qFormat/>
    <w:uiPriority w:val="0"/>
    <w:rPr>
      <w:rFonts w:hAnsi="Arial" w:eastAsia="仿宋_GB2312"/>
      <w:sz w:val="30"/>
      <w:lang w:val="en-US" w:eastAsia="zh-CN" w:bidi="ar-SA"/>
    </w:rPr>
  </w:style>
  <w:style w:type="character" w:customStyle="1" w:styleId="229">
    <w:name w:val="标题 Char2"/>
    <w:qFormat/>
    <w:uiPriority w:val="10"/>
    <w:rPr>
      <w:rFonts w:ascii="Cambria" w:hAnsi="Cambria" w:eastAsia="宋体" w:cs="Times New Roman"/>
      <w:b/>
      <w:bCs/>
      <w:sz w:val="32"/>
      <w:szCs w:val="32"/>
    </w:rPr>
  </w:style>
  <w:style w:type="character" w:customStyle="1" w:styleId="230">
    <w:name w:val="正文文本 Char2"/>
    <w:qFormat/>
    <w:uiPriority w:val="99"/>
    <w:rPr>
      <w:kern w:val="2"/>
      <w:sz w:val="21"/>
      <w:szCs w:val="24"/>
    </w:rPr>
  </w:style>
  <w:style w:type="character" w:customStyle="1" w:styleId="231">
    <w:name w:val="正文文本 2 Char"/>
    <w:link w:val="39"/>
    <w:qFormat/>
    <w:uiPriority w:val="0"/>
    <w:rPr>
      <w:i/>
      <w:iCs/>
      <w:kern w:val="2"/>
      <w:sz w:val="26"/>
      <w:szCs w:val="24"/>
    </w:rPr>
  </w:style>
  <w:style w:type="character" w:customStyle="1" w:styleId="232">
    <w:name w:val="0d1471"/>
    <w:qFormat/>
    <w:uiPriority w:val="0"/>
    <w:rPr>
      <w:color w:val="000000"/>
      <w:sz w:val="11"/>
      <w:szCs w:val="11"/>
      <w:u w:val="none"/>
    </w:rPr>
  </w:style>
  <w:style w:type="character" w:customStyle="1" w:styleId="233">
    <w:name w:val="批注主题 Char"/>
    <w:qFormat/>
    <w:uiPriority w:val="0"/>
    <w:rPr>
      <w:rFonts w:ascii="宋体" w:hAnsi="宋体" w:eastAsia="宋体"/>
      <w:kern w:val="2"/>
      <w:sz w:val="24"/>
      <w:szCs w:val="28"/>
      <w:lang w:val="en-US" w:eastAsia="zh-CN" w:bidi="ar-SA"/>
    </w:rPr>
  </w:style>
  <w:style w:type="character" w:customStyle="1" w:styleId="234">
    <w:name w:val="正文文本 2 Char1"/>
    <w:semiHidden/>
    <w:qFormat/>
    <w:uiPriority w:val="99"/>
    <w:rPr>
      <w:rFonts w:ascii="Calibri" w:hAnsi="Calibri" w:eastAsia="宋体" w:cs="Times New Roman"/>
      <w:szCs w:val="24"/>
    </w:rPr>
  </w:style>
  <w:style w:type="character" w:customStyle="1" w:styleId="235">
    <w:name w:val="批注框文本 Char1"/>
    <w:qFormat/>
    <w:uiPriority w:val="0"/>
    <w:rPr>
      <w:kern w:val="2"/>
      <w:sz w:val="18"/>
      <w:szCs w:val="18"/>
    </w:rPr>
  </w:style>
  <w:style w:type="character" w:customStyle="1" w:styleId="236">
    <w:name w:val="标题 Char3"/>
    <w:link w:val="43"/>
    <w:qFormat/>
    <w:uiPriority w:val="0"/>
    <w:rPr>
      <w:rFonts w:eastAsia="宋体"/>
      <w:szCs w:val="24"/>
      <w:u w:val="single"/>
      <w:lang w:val="en-US" w:eastAsia="en-US" w:bidi="ar-SA"/>
    </w:rPr>
  </w:style>
  <w:style w:type="character" w:customStyle="1" w:styleId="237">
    <w:name w:val="正文文本缩进 2 Char3"/>
    <w:link w:val="26"/>
    <w:qFormat/>
    <w:uiPriority w:val="0"/>
    <w:rPr>
      <w:rFonts w:eastAsia="宋体"/>
      <w:sz w:val="28"/>
      <w:szCs w:val="24"/>
      <w:lang w:val="en-US" w:eastAsia="zh-CN" w:bidi="ar-SA"/>
    </w:rPr>
  </w:style>
  <w:style w:type="character" w:customStyle="1" w:styleId="238">
    <w:name w:val="引用 Char"/>
    <w:link w:val="115"/>
    <w:qFormat/>
    <w:uiPriority w:val="0"/>
    <w:rPr>
      <w:rFonts w:ascii="Times New Roman" w:hAnsi="Times New Roman" w:eastAsia="宋体" w:cs="Times New Roman"/>
      <w:i/>
      <w:iCs/>
      <w:color w:val="000000"/>
      <w:kern w:val="2"/>
      <w:sz w:val="21"/>
      <w:szCs w:val="24"/>
    </w:rPr>
  </w:style>
  <w:style w:type="character" w:customStyle="1" w:styleId="239">
    <w:name w:val="font161"/>
    <w:qFormat/>
    <w:uiPriority w:val="0"/>
    <w:rPr>
      <w:b/>
      <w:bCs/>
      <w:sz w:val="32"/>
      <w:szCs w:val="32"/>
    </w:rPr>
  </w:style>
  <w:style w:type="character" w:customStyle="1" w:styleId="240">
    <w:name w:val="正文文本缩进 Char3"/>
    <w:link w:val="18"/>
    <w:qFormat/>
    <w:uiPriority w:val="0"/>
    <w:rPr>
      <w:rFonts w:eastAsia="宋体"/>
      <w:kern w:val="2"/>
      <w:sz w:val="21"/>
      <w:szCs w:val="24"/>
      <w:lang w:val="en-US" w:eastAsia="zh-CN" w:bidi="ar-SA"/>
    </w:rPr>
  </w:style>
  <w:style w:type="character" w:customStyle="1" w:styleId="241">
    <w:name w:val="标题 9 Char2"/>
    <w:link w:val="12"/>
    <w:qFormat/>
    <w:uiPriority w:val="0"/>
    <w:rPr>
      <w:rFonts w:eastAsia="仿宋_GB2312"/>
      <w:sz w:val="30"/>
      <w:lang w:val="en-US" w:eastAsia="zh-CN" w:bidi="ar-SA"/>
    </w:rPr>
  </w:style>
  <w:style w:type="character" w:customStyle="1" w:styleId="242">
    <w:name w:val="标题 8 Char2"/>
    <w:link w:val="11"/>
    <w:qFormat/>
    <w:uiPriority w:val="0"/>
    <w:rPr>
      <w:rFonts w:hAnsi="Arial" w:eastAsia="仿宋_GB2312"/>
      <w:sz w:val="30"/>
      <w:lang w:val="en-US" w:eastAsia="zh-CN" w:bidi="ar-SA"/>
    </w:rPr>
  </w:style>
  <w:style w:type="character" w:customStyle="1" w:styleId="243">
    <w:name w:val="Char Char32"/>
    <w:qFormat/>
    <w:uiPriority w:val="0"/>
    <w:rPr>
      <w:rFonts w:ascii="仿宋_GB2312" w:eastAsia="仿宋_GB2312" w:cs="MingLiU"/>
      <w:b/>
      <w:spacing w:val="1"/>
      <w:w w:val="99"/>
      <w:sz w:val="28"/>
      <w:szCs w:val="32"/>
    </w:rPr>
  </w:style>
  <w:style w:type="character" w:customStyle="1" w:styleId="244">
    <w:name w:val="正文文本缩进 3 Char3"/>
    <w:link w:val="36"/>
    <w:qFormat/>
    <w:uiPriority w:val="0"/>
    <w:rPr>
      <w:rFonts w:ascii="宋体" w:hAnsi="宋体" w:eastAsia="宋体"/>
      <w:kern w:val="2"/>
      <w:sz w:val="28"/>
      <w:szCs w:val="28"/>
      <w:lang w:val="en-US" w:eastAsia="zh-CN" w:bidi="ar-SA"/>
    </w:rPr>
  </w:style>
  <w:style w:type="character" w:customStyle="1" w:styleId="245">
    <w:name w:val="标题 2 Char1"/>
    <w:qFormat/>
    <w:uiPriority w:val="0"/>
    <w:rPr>
      <w:rFonts w:ascii="Cambria" w:hAnsi="Cambria" w:eastAsia="宋体" w:cs="Times New Roman"/>
      <w:b/>
      <w:bCs/>
      <w:kern w:val="2"/>
      <w:sz w:val="32"/>
      <w:szCs w:val="32"/>
    </w:rPr>
  </w:style>
  <w:style w:type="character" w:customStyle="1" w:styleId="246">
    <w:name w:val="ss16"/>
    <w:qFormat/>
    <w:uiPriority w:val="0"/>
    <w:rPr>
      <w:rFonts w:hint="eastAsia" w:ascii="宋体" w:hAnsi="宋体" w:eastAsia="宋体"/>
      <w:color w:val="000000"/>
      <w:sz w:val="9"/>
      <w:szCs w:val="9"/>
    </w:rPr>
  </w:style>
  <w:style w:type="character" w:customStyle="1" w:styleId="247">
    <w:name w:val="批注主题 Char3"/>
    <w:semiHidden/>
    <w:qFormat/>
    <w:uiPriority w:val="99"/>
    <w:rPr>
      <w:rFonts w:ascii="Calibri" w:hAnsi="Calibri" w:eastAsia="宋体" w:cs="Times New Roman"/>
      <w:b/>
      <w:bCs/>
      <w:szCs w:val="24"/>
    </w:rPr>
  </w:style>
  <w:style w:type="character" w:customStyle="1" w:styleId="248">
    <w:name w:val="明显引用 Char1"/>
    <w:link w:val="132"/>
    <w:qFormat/>
    <w:uiPriority w:val="30"/>
    <w:rPr>
      <w:b/>
      <w:bCs/>
      <w:i/>
      <w:iCs/>
      <w:color w:val="4F81BD"/>
      <w:kern w:val="2"/>
      <w:sz w:val="21"/>
    </w:rPr>
  </w:style>
  <w:style w:type="character" w:customStyle="1" w:styleId="249">
    <w:name w:val="HTML 预设格式 Char2"/>
    <w:semiHidden/>
    <w:qFormat/>
    <w:uiPriority w:val="99"/>
    <w:rPr>
      <w:rFonts w:ascii="Courier New" w:hAnsi="Courier New" w:eastAsia="宋体" w:cs="Courier New"/>
      <w:sz w:val="20"/>
      <w:szCs w:val="20"/>
    </w:rPr>
  </w:style>
  <w:style w:type="character" w:customStyle="1" w:styleId="250">
    <w:name w:val="Char Char17"/>
    <w:qFormat/>
    <w:uiPriority w:val="0"/>
    <w:rPr>
      <w:kern w:val="2"/>
      <w:sz w:val="26"/>
      <w:szCs w:val="24"/>
    </w:rPr>
  </w:style>
  <w:style w:type="character" w:customStyle="1" w:styleId="251">
    <w:name w:val="标题 3 Char1"/>
    <w:qFormat/>
    <w:uiPriority w:val="0"/>
    <w:rPr>
      <w:rFonts w:ascii="Times New Roman" w:hAnsi="Times New Roman" w:eastAsia="宋体" w:cs="Times New Roman"/>
      <w:b/>
      <w:bCs/>
      <w:kern w:val="2"/>
      <w:sz w:val="32"/>
      <w:szCs w:val="32"/>
    </w:rPr>
  </w:style>
  <w:style w:type="character" w:customStyle="1" w:styleId="252">
    <w:name w:val="标题 5 Char"/>
    <w:qFormat/>
    <w:uiPriority w:val="0"/>
    <w:rPr>
      <w:rFonts w:ascii="Calibri" w:hAnsi="Calibri" w:eastAsia="宋体" w:cs="Times New Roman"/>
      <w:b/>
      <w:bCs/>
      <w:sz w:val="28"/>
      <w:szCs w:val="28"/>
    </w:rPr>
  </w:style>
  <w:style w:type="character" w:customStyle="1" w:styleId="253">
    <w:name w:val="页脚 Char1"/>
    <w:semiHidden/>
    <w:qFormat/>
    <w:uiPriority w:val="99"/>
    <w:rPr>
      <w:kern w:val="2"/>
      <w:sz w:val="18"/>
      <w:szCs w:val="18"/>
    </w:rPr>
  </w:style>
  <w:style w:type="character" w:customStyle="1" w:styleId="254">
    <w:name w:val="unnamed1"/>
    <w:basedOn w:val="47"/>
    <w:qFormat/>
    <w:uiPriority w:val="0"/>
  </w:style>
  <w:style w:type="character" w:customStyle="1" w:styleId="255">
    <w:name w:val="Char Char9"/>
    <w:qFormat/>
    <w:locked/>
    <w:uiPriority w:val="0"/>
    <w:rPr>
      <w:rFonts w:ascii="仿宋_GB2312" w:eastAsia="仿宋_GB2312" w:cs="MingLiU"/>
      <w:b/>
      <w:sz w:val="24"/>
      <w:szCs w:val="28"/>
      <w:lang w:val="en-US" w:eastAsia="zh-CN" w:bidi="ar-SA"/>
    </w:rPr>
  </w:style>
  <w:style w:type="character" w:customStyle="1" w:styleId="256">
    <w:name w:val="批注主题 Char1"/>
    <w:qFormat/>
    <w:uiPriority w:val="0"/>
    <w:rPr>
      <w:b/>
      <w:bCs/>
      <w:kern w:val="2"/>
      <w:sz w:val="21"/>
      <w:szCs w:val="22"/>
    </w:rPr>
  </w:style>
  <w:style w:type="character" w:customStyle="1" w:styleId="257">
    <w:name w:val="正文文本 3 Char3"/>
    <w:link w:val="17"/>
    <w:qFormat/>
    <w:uiPriority w:val="0"/>
    <w:rPr>
      <w:rFonts w:eastAsia="宋体"/>
      <w:kern w:val="2"/>
      <w:sz w:val="16"/>
      <w:szCs w:val="16"/>
      <w:lang w:val="en-US" w:eastAsia="zh-CN" w:bidi="ar-SA"/>
    </w:rPr>
  </w:style>
  <w:style w:type="character" w:customStyle="1" w:styleId="258">
    <w:name w:val="纯文本 Char2"/>
    <w:semiHidden/>
    <w:qFormat/>
    <w:uiPriority w:val="99"/>
    <w:rPr>
      <w:rFonts w:ascii="宋体" w:hAnsi="Courier New" w:eastAsia="宋体" w:cs="Courier New"/>
      <w:szCs w:val="21"/>
    </w:rPr>
  </w:style>
  <w:style w:type="character" w:customStyle="1" w:styleId="259">
    <w:name w:val="intel3"/>
    <w:basedOn w:val="47"/>
    <w:qFormat/>
    <w:uiPriority w:val="0"/>
  </w:style>
  <w:style w:type="character" w:customStyle="1" w:styleId="260">
    <w:name w:val="subhead1"/>
    <w:qFormat/>
    <w:uiPriority w:val="0"/>
    <w:rPr>
      <w:rFonts w:hint="default" w:ascii="Tahoma" w:hAnsi="Tahoma" w:cs="Tahoma"/>
      <w:color w:val="000000"/>
      <w:sz w:val="18"/>
      <w:szCs w:val="18"/>
      <w:u w:val="none"/>
      <w:shd w:val="clear" w:color="auto" w:fill="FFFFFF"/>
    </w:rPr>
  </w:style>
  <w:style w:type="character" w:customStyle="1" w:styleId="261">
    <w:name w:val="脚注文本 Char"/>
    <w:qFormat/>
    <w:uiPriority w:val="0"/>
    <w:rPr>
      <w:rFonts w:ascii="Arial" w:hAnsi="Arial" w:eastAsia="宋体" w:cs="Arial"/>
      <w:sz w:val="18"/>
      <w:szCs w:val="18"/>
      <w:lang w:eastAsia="en-US"/>
    </w:rPr>
  </w:style>
  <w:style w:type="character" w:customStyle="1" w:styleId="262">
    <w:name w:val="引用 Char1"/>
    <w:link w:val="137"/>
    <w:qFormat/>
    <w:uiPriority w:val="29"/>
    <w:rPr>
      <w:i/>
      <w:iCs/>
      <w:color w:val="000000"/>
      <w:kern w:val="2"/>
      <w:sz w:val="21"/>
    </w:rPr>
  </w:style>
  <w:style w:type="character" w:customStyle="1" w:styleId="263">
    <w:name w:val="正文文本缩进 2 Char"/>
    <w:qFormat/>
    <w:uiPriority w:val="0"/>
    <w:rPr>
      <w:kern w:val="2"/>
      <w:sz w:val="21"/>
      <w:szCs w:val="24"/>
    </w:rPr>
  </w:style>
  <w:style w:type="character" w:customStyle="1" w:styleId="264">
    <w:name w:val="脚注文本 Char2"/>
    <w:semiHidden/>
    <w:qFormat/>
    <w:uiPriority w:val="99"/>
    <w:rPr>
      <w:rFonts w:ascii="Calibri" w:hAnsi="Calibri" w:eastAsia="宋体" w:cs="Times New Roman"/>
      <w:sz w:val="18"/>
      <w:szCs w:val="18"/>
    </w:rPr>
  </w:style>
  <w:style w:type="character" w:customStyle="1" w:styleId="265">
    <w:name w:val="ca-141"/>
    <w:qFormat/>
    <w:uiPriority w:val="0"/>
    <w:rPr>
      <w:rFonts w:hint="eastAsia" w:ascii="仿宋_GB2312" w:eastAsia="仿宋_GB2312"/>
      <w:sz w:val="21"/>
      <w:szCs w:val="21"/>
    </w:rPr>
  </w:style>
  <w:style w:type="character" w:customStyle="1" w:styleId="266">
    <w:name w:val="标题 Char1"/>
    <w:qFormat/>
    <w:uiPriority w:val="10"/>
    <w:rPr>
      <w:szCs w:val="24"/>
      <w:u w:val="single"/>
      <w:lang w:eastAsia="en-US"/>
    </w:rPr>
  </w:style>
  <w:style w:type="character" w:customStyle="1" w:styleId="267">
    <w:name w:val="style161"/>
    <w:qFormat/>
    <w:uiPriority w:val="0"/>
    <w:rPr>
      <w:b/>
      <w:bCs/>
      <w:color w:val="333333"/>
    </w:rPr>
  </w:style>
  <w:style w:type="character" w:customStyle="1" w:styleId="268">
    <w:name w:val="Char Char11"/>
    <w:qFormat/>
    <w:locked/>
    <w:uiPriority w:val="0"/>
    <w:rPr>
      <w:rFonts w:eastAsia="黑体"/>
      <w:kern w:val="2"/>
      <w:sz w:val="44"/>
      <w:szCs w:val="44"/>
      <w:lang w:val="en-US" w:eastAsia="zh-CN" w:bidi="ar-SA"/>
    </w:rPr>
  </w:style>
  <w:style w:type="character" w:customStyle="1" w:styleId="269">
    <w:name w:val="标题 7 Char"/>
    <w:qFormat/>
    <w:uiPriority w:val="0"/>
    <w:rPr>
      <w:rFonts w:ascii="Calibri" w:hAnsi="Calibri" w:eastAsia="宋体" w:cs="Times New Roman"/>
      <w:b/>
      <w:bCs/>
      <w:sz w:val="24"/>
      <w:szCs w:val="24"/>
    </w:rPr>
  </w:style>
  <w:style w:type="character" w:customStyle="1" w:styleId="270">
    <w:name w:val="批注文字 Char1"/>
    <w:qFormat/>
    <w:uiPriority w:val="99"/>
    <w:rPr>
      <w:rFonts w:ascii="Times New Roman" w:hAnsi="Times New Roman" w:eastAsia="宋体" w:cs="Times New Roman"/>
      <w:szCs w:val="24"/>
    </w:rPr>
  </w:style>
  <w:style w:type="character" w:customStyle="1" w:styleId="271">
    <w:name w:val="明显引用 Char"/>
    <w:qFormat/>
    <w:uiPriority w:val="0"/>
    <w:rPr>
      <w:rFonts w:ascii="Times New Roman" w:hAnsi="Times New Roman" w:eastAsia="宋体" w:cs="Times New Roman"/>
      <w:b/>
      <w:bCs/>
      <w:i/>
      <w:iCs/>
      <w:color w:val="4F81BD"/>
      <w:kern w:val="2"/>
      <w:sz w:val="21"/>
      <w:szCs w:val="24"/>
    </w:rPr>
  </w:style>
  <w:style w:type="character" w:customStyle="1" w:styleId="272">
    <w:name w:val="标题 5 Char2"/>
    <w:link w:val="7"/>
    <w:qFormat/>
    <w:uiPriority w:val="0"/>
    <w:rPr>
      <w:rFonts w:ascii="宋体" w:hAnsi="宋体" w:eastAsia="宋体" w:cs="宋体"/>
      <w:b/>
      <w:bCs/>
      <w:lang w:val="en-US" w:eastAsia="zh-CN" w:bidi="ar-SA"/>
    </w:rPr>
  </w:style>
  <w:style w:type="character" w:customStyle="1" w:styleId="273">
    <w:name w:val="正文文本缩进 3 Char1"/>
    <w:qFormat/>
    <w:uiPriority w:val="0"/>
    <w:rPr>
      <w:rFonts w:ascii="宋体" w:hAnsi="宋体"/>
      <w:kern w:val="2"/>
      <w:sz w:val="28"/>
      <w:szCs w:val="28"/>
    </w:rPr>
  </w:style>
  <w:style w:type="character" w:customStyle="1" w:styleId="274">
    <w:name w:val="正文文本 Char"/>
    <w:qFormat/>
    <w:uiPriority w:val="0"/>
    <w:rPr>
      <w:sz w:val="26"/>
      <w:szCs w:val="24"/>
    </w:rPr>
  </w:style>
  <w:style w:type="character" w:customStyle="1" w:styleId="275">
    <w:name w:val="明显引用 Char4"/>
    <w:link w:val="81"/>
    <w:qFormat/>
    <w:uiPriority w:val="0"/>
    <w:rPr>
      <w:b/>
      <w:bCs/>
      <w:i/>
      <w:iCs/>
      <w:color w:val="4F81BD"/>
      <w:kern w:val="2"/>
      <w:sz w:val="21"/>
      <w:szCs w:val="22"/>
      <w:lang w:bidi="ar-SA"/>
    </w:rPr>
  </w:style>
  <w:style w:type="character" w:customStyle="1" w:styleId="276">
    <w:name w:val="Char Char12"/>
    <w:qFormat/>
    <w:uiPriority w:val="0"/>
    <w:rPr>
      <w:rFonts w:eastAsia="黑体"/>
      <w:kern w:val="2"/>
      <w:sz w:val="44"/>
      <w:szCs w:val="44"/>
      <w:lang w:val="en-US" w:eastAsia="zh-CN" w:bidi="ar-SA"/>
    </w:rPr>
  </w:style>
  <w:style w:type="character" w:customStyle="1" w:styleId="277">
    <w:name w:val="标题 4 Char"/>
    <w:qFormat/>
    <w:uiPriority w:val="0"/>
    <w:rPr>
      <w:rFonts w:ascii="仿宋_GB2312" w:hAnsi="Calibri" w:eastAsia="仿宋_GB2312" w:cs="Times New Roman"/>
      <w:b/>
      <w:kern w:val="0"/>
      <w:sz w:val="24"/>
      <w:szCs w:val="28"/>
    </w:rPr>
  </w:style>
  <w:style w:type="character" w:customStyle="1" w:styleId="278">
    <w:name w:val="明显引用 Char3"/>
    <w:qFormat/>
    <w:uiPriority w:val="30"/>
    <w:rPr>
      <w:rFonts w:ascii="Calibri" w:hAnsi="Calibri" w:eastAsia="宋体" w:cs="Times New Roman"/>
      <w:b/>
      <w:bCs/>
      <w:i/>
      <w:iCs/>
      <w:color w:val="4F81BD"/>
      <w:szCs w:val="24"/>
    </w:rPr>
  </w:style>
  <w:style w:type="character" w:customStyle="1" w:styleId="279">
    <w:name w:val="引用 Char2"/>
    <w:qFormat/>
    <w:uiPriority w:val="99"/>
    <w:rPr>
      <w:i/>
      <w:iCs/>
      <w:color w:val="000000"/>
      <w:kern w:val="2"/>
      <w:sz w:val="21"/>
      <w:szCs w:val="24"/>
    </w:rPr>
  </w:style>
  <w:style w:type="character" w:customStyle="1" w:styleId="280">
    <w:name w:val="批注主题 Char4"/>
    <w:link w:val="44"/>
    <w:qFormat/>
    <w:uiPriority w:val="0"/>
    <w:rPr>
      <w:rFonts w:eastAsia="宋体"/>
      <w:b/>
      <w:bCs/>
      <w:kern w:val="2"/>
      <w:sz w:val="21"/>
      <w:szCs w:val="24"/>
      <w:lang w:val="en-US" w:eastAsia="zh-CN" w:bidi="ar-SA"/>
    </w:rPr>
  </w:style>
  <w:style w:type="character" w:customStyle="1" w:styleId="281">
    <w:name w:val="不明显强调1"/>
    <w:qFormat/>
    <w:uiPriority w:val="0"/>
    <w:rPr>
      <w:i/>
      <w:iCs/>
      <w:color w:val="808080"/>
    </w:rPr>
  </w:style>
  <w:style w:type="character" w:customStyle="1" w:styleId="282">
    <w:name w:val="color_red1"/>
    <w:qFormat/>
    <w:uiPriority w:val="0"/>
    <w:rPr>
      <w:color w:val="FA0004"/>
    </w:rPr>
  </w:style>
  <w:style w:type="character" w:customStyle="1" w:styleId="283">
    <w:name w:val="标题 7 Char2"/>
    <w:link w:val="10"/>
    <w:qFormat/>
    <w:uiPriority w:val="0"/>
    <w:rPr>
      <w:rFonts w:eastAsia="仿宋_GB2312"/>
      <w:sz w:val="30"/>
      <w:lang w:val="en-US" w:eastAsia="zh-CN" w:bidi="ar-SA"/>
    </w:rPr>
  </w:style>
  <w:style w:type="character" w:customStyle="1" w:styleId="284">
    <w:name w:val="标题5 Char Char"/>
    <w:link w:val="121"/>
    <w:qFormat/>
    <w:uiPriority w:val="0"/>
    <w:rPr>
      <w:rFonts w:ascii="Arial" w:hAnsi="Arial"/>
      <w:b/>
      <w:bCs/>
      <w:sz w:val="24"/>
      <w:szCs w:val="32"/>
      <w:lang w:bidi="ar-SA"/>
    </w:rPr>
  </w:style>
  <w:style w:type="character" w:customStyle="1" w:styleId="285">
    <w:name w:val="脚注文本 Char3"/>
    <w:link w:val="34"/>
    <w:qFormat/>
    <w:uiPriority w:val="0"/>
    <w:rPr>
      <w:rFonts w:ascii="Arial" w:hAnsi="Arial" w:eastAsia="宋体" w:cs="Arial"/>
      <w:sz w:val="18"/>
      <w:szCs w:val="18"/>
      <w:lang w:val="en-US" w:eastAsia="en-US" w:bidi="ar-SA"/>
    </w:rPr>
  </w:style>
  <w:style w:type="character" w:customStyle="1" w:styleId="286">
    <w:name w:val="标题4 Char Char"/>
    <w:link w:val="91"/>
    <w:qFormat/>
    <w:uiPriority w:val="0"/>
    <w:rPr>
      <w:rFonts w:ascii="Arial" w:hAnsi="Arial"/>
      <w:b/>
      <w:bCs/>
      <w:sz w:val="24"/>
      <w:szCs w:val="32"/>
      <w:lang w:bidi="ar-SA"/>
    </w:rPr>
  </w:style>
  <w:style w:type="character" w:customStyle="1" w:styleId="287">
    <w:name w:val="Char Char13"/>
    <w:qFormat/>
    <w:uiPriority w:val="0"/>
    <w:rPr>
      <w:kern w:val="2"/>
      <w:sz w:val="18"/>
      <w:szCs w:val="18"/>
    </w:rPr>
  </w:style>
  <w:style w:type="character" w:customStyle="1" w:styleId="288">
    <w:name w:val="文档结构图 Char2"/>
    <w:qFormat/>
    <w:uiPriority w:val="99"/>
    <w:rPr>
      <w:kern w:val="2"/>
      <w:sz w:val="21"/>
      <w:szCs w:val="24"/>
      <w:shd w:val="clear" w:color="auto" w:fill="000080"/>
    </w:rPr>
  </w:style>
  <w:style w:type="character" w:customStyle="1" w:styleId="289">
    <w:name w:val="批注文字 Char2"/>
    <w:qFormat/>
    <w:uiPriority w:val="0"/>
    <w:rPr>
      <w:rFonts w:ascii="Calibri" w:hAnsi="Calibri" w:eastAsia="宋体" w:cs="Times New Roman"/>
      <w:szCs w:val="24"/>
    </w:rPr>
  </w:style>
  <w:style w:type="character" w:customStyle="1" w:styleId="290">
    <w:name w:val="标题 8 Char1"/>
    <w:qFormat/>
    <w:uiPriority w:val="0"/>
    <w:rPr>
      <w:rFonts w:ascii="Times New Roman" w:hAnsi="Arial" w:eastAsia="仿宋_GB2312" w:cs="Times New Roman"/>
      <w:sz w:val="30"/>
      <w:szCs w:val="20"/>
    </w:rPr>
  </w:style>
  <w:style w:type="character" w:customStyle="1" w:styleId="291">
    <w:name w:val="页眉 Char2"/>
    <w:link w:val="30"/>
    <w:qFormat/>
    <w:uiPriority w:val="0"/>
    <w:rPr>
      <w:rFonts w:eastAsia="宋体"/>
      <w:kern w:val="2"/>
      <w:sz w:val="18"/>
      <w:szCs w:val="18"/>
      <w:lang w:val="en-US" w:eastAsia="zh-CN" w:bidi="ar-SA"/>
    </w:rPr>
  </w:style>
  <w:style w:type="character" w:customStyle="1" w:styleId="292">
    <w:name w:val="Char Char21"/>
    <w:qFormat/>
    <w:uiPriority w:val="0"/>
    <w:rPr>
      <w:rFonts w:ascii="宋体" w:hAnsi="宋体" w:cs="宋体"/>
      <w:b/>
      <w:bCs/>
      <w:sz w:val="24"/>
      <w:szCs w:val="24"/>
    </w:rPr>
  </w:style>
  <w:style w:type="character" w:customStyle="1" w:styleId="293">
    <w:name w:val="标题 6 Char1"/>
    <w:qFormat/>
    <w:uiPriority w:val="0"/>
    <w:rPr>
      <w:rFonts w:ascii="Times New Roman" w:hAnsi="Arial" w:eastAsia="仿宋_GB2312" w:cs="Times New Roman"/>
      <w:sz w:val="30"/>
      <w:szCs w:val="20"/>
    </w:rPr>
  </w:style>
  <w:style w:type="character" w:customStyle="1" w:styleId="294">
    <w:name w:val="_Style 293"/>
    <w:qFormat/>
    <w:uiPriority w:val="0"/>
    <w:rPr>
      <w:smallCaps/>
      <w:color w:val="C0504D"/>
      <w:u w:val="single"/>
    </w:rPr>
  </w:style>
  <w:style w:type="character" w:customStyle="1" w:styleId="295">
    <w:name w:val="副标题 Char1"/>
    <w:qFormat/>
    <w:uiPriority w:val="0"/>
    <w:rPr>
      <w:szCs w:val="24"/>
      <w:u w:val="single"/>
      <w:lang w:eastAsia="en-US"/>
    </w:rPr>
  </w:style>
  <w:style w:type="character" w:customStyle="1" w:styleId="296">
    <w:name w:val="正文文本 Char3"/>
    <w:semiHidden/>
    <w:qFormat/>
    <w:uiPriority w:val="99"/>
    <w:rPr>
      <w:rFonts w:ascii="Calibri" w:hAnsi="Calibri" w:eastAsia="宋体" w:cs="Times New Roman"/>
      <w:szCs w:val="24"/>
    </w:rPr>
  </w:style>
  <w:style w:type="character" w:customStyle="1" w:styleId="297">
    <w:name w:val="标题 4 Char1"/>
    <w:qFormat/>
    <w:uiPriority w:val="0"/>
    <w:rPr>
      <w:rFonts w:ascii="宋体" w:hAnsi="宋体" w:eastAsia="宋体" w:cs="宋体"/>
      <w:b/>
      <w:bCs/>
      <w:sz w:val="24"/>
      <w:szCs w:val="24"/>
    </w:rPr>
  </w:style>
  <w:style w:type="character" w:customStyle="1" w:styleId="298">
    <w:name w:val="文档结构图 Char3"/>
    <w:semiHidden/>
    <w:qFormat/>
    <w:uiPriority w:val="99"/>
    <w:rPr>
      <w:rFonts w:ascii="宋体" w:hAnsi="Calibri" w:eastAsia="宋体" w:cs="Times New Roman"/>
      <w:sz w:val="18"/>
      <w:szCs w:val="18"/>
    </w:rPr>
  </w:style>
  <w:style w:type="character" w:customStyle="1" w:styleId="299">
    <w:name w:val="标题 3 Char2"/>
    <w:link w:val="5"/>
    <w:qFormat/>
    <w:uiPriority w:val="0"/>
    <w:rPr>
      <w:rFonts w:eastAsia="宋体"/>
      <w:b/>
      <w:bCs/>
      <w:kern w:val="2"/>
      <w:sz w:val="32"/>
      <w:szCs w:val="32"/>
      <w:lang w:val="en-US" w:eastAsia="zh-CN" w:bidi="ar-SA"/>
    </w:rPr>
  </w:style>
  <w:style w:type="character" w:customStyle="1" w:styleId="300">
    <w:name w:val="正文文本 3 Char2"/>
    <w:semiHidden/>
    <w:qFormat/>
    <w:uiPriority w:val="99"/>
    <w:rPr>
      <w:rFonts w:ascii="Calibri" w:hAnsi="Calibri" w:eastAsia="宋体" w:cs="Times New Roman"/>
      <w:sz w:val="16"/>
      <w:szCs w:val="16"/>
    </w:rPr>
  </w:style>
  <w:style w:type="character" w:customStyle="1" w:styleId="301">
    <w:name w:val="Char Char23"/>
    <w:qFormat/>
    <w:uiPriority w:val="0"/>
    <w:rPr>
      <w:rFonts w:ascii="Cambria" w:hAnsi="Cambria" w:eastAsia="宋体" w:cs="Times New Roman"/>
      <w:b/>
      <w:bCs/>
      <w:kern w:val="2"/>
      <w:sz w:val="32"/>
      <w:szCs w:val="32"/>
    </w:rPr>
  </w:style>
  <w:style w:type="character" w:customStyle="1" w:styleId="302">
    <w:name w:val="尾注文本 Char2"/>
    <w:semiHidden/>
    <w:qFormat/>
    <w:uiPriority w:val="99"/>
    <w:rPr>
      <w:rFonts w:ascii="Calibri" w:hAnsi="Calibri" w:eastAsia="宋体" w:cs="Times New Roman"/>
      <w:szCs w:val="24"/>
    </w:rPr>
  </w:style>
  <w:style w:type="character" w:customStyle="1" w:styleId="303">
    <w:name w:val="书籍标题1"/>
    <w:qFormat/>
    <w:uiPriority w:val="0"/>
    <w:rPr>
      <w:b/>
      <w:bCs/>
      <w:smallCaps/>
      <w:spacing w:val="5"/>
    </w:rPr>
  </w:style>
  <w:style w:type="character" w:customStyle="1" w:styleId="304">
    <w:name w:val="ITTHEADER2 Char"/>
    <w:qFormat/>
    <w:uiPriority w:val="0"/>
    <w:rPr>
      <w:rFonts w:ascii="仿宋_GB2312" w:eastAsia="仿宋_GB2312" w:cs="MingLiU"/>
      <w:b/>
      <w:spacing w:val="1"/>
      <w:w w:val="99"/>
      <w:sz w:val="28"/>
      <w:szCs w:val="32"/>
      <w:lang w:val="en-US" w:eastAsia="zh-CN" w:bidi="ar-SA"/>
    </w:rPr>
  </w:style>
  <w:style w:type="character" w:customStyle="1" w:styleId="305">
    <w:name w:val="批注文字 Char3"/>
    <w:link w:val="16"/>
    <w:qFormat/>
    <w:uiPriority w:val="99"/>
    <w:rPr>
      <w:rFonts w:eastAsia="宋体"/>
      <w:kern w:val="2"/>
      <w:sz w:val="21"/>
      <w:szCs w:val="24"/>
      <w:lang w:val="en-US" w:eastAsia="zh-CN" w:bidi="ar-SA"/>
    </w:rPr>
  </w:style>
  <w:style w:type="character" w:customStyle="1" w:styleId="306">
    <w:name w:val="批注文字 Char Char"/>
    <w:qFormat/>
    <w:uiPriority w:val="0"/>
    <w:rPr>
      <w:rFonts w:ascii="宋体" w:hAnsi="Times New Roman" w:eastAsia="宋体" w:cs="Times New Roman"/>
      <w:sz w:val="28"/>
      <w:szCs w:val="20"/>
    </w:rPr>
  </w:style>
  <w:style w:type="character" w:customStyle="1" w:styleId="307">
    <w:name w:val="副标题 Char3"/>
    <w:link w:val="33"/>
    <w:qFormat/>
    <w:uiPriority w:val="0"/>
    <w:rPr>
      <w:rFonts w:eastAsia="宋体"/>
      <w:szCs w:val="24"/>
      <w:u w:val="single"/>
      <w:lang w:val="en-US" w:eastAsia="en-US" w:bidi="ar-SA"/>
    </w:rPr>
  </w:style>
  <w:style w:type="character" w:customStyle="1" w:styleId="308">
    <w:name w:val="批注主题 Char2"/>
    <w:qFormat/>
    <w:uiPriority w:val="99"/>
    <w:rPr>
      <w:b/>
      <w:bCs/>
      <w:kern w:val="2"/>
      <w:sz w:val="21"/>
      <w:szCs w:val="24"/>
    </w:rPr>
  </w:style>
  <w:style w:type="character" w:customStyle="1" w:styleId="309">
    <w:name w:val="normaltext1"/>
    <w:qFormat/>
    <w:uiPriority w:val="0"/>
    <w:rPr>
      <w:rFonts w:hint="default" w:ascii="ˎ̥" w:hAnsi="ˎ̥"/>
      <w:sz w:val="9"/>
      <w:szCs w:val="9"/>
    </w:rPr>
  </w:style>
  <w:style w:type="character" w:customStyle="1" w:styleId="310">
    <w:name w:val="不明显参考1"/>
    <w:qFormat/>
    <w:uiPriority w:val="0"/>
    <w:rPr>
      <w:smallCaps/>
      <w:color w:val="C0504D"/>
      <w:u w:val="single"/>
    </w:rPr>
  </w:style>
  <w:style w:type="character" w:customStyle="1" w:styleId="311">
    <w:name w:val="标题 6 Char"/>
    <w:qFormat/>
    <w:uiPriority w:val="0"/>
    <w:rPr>
      <w:rFonts w:ascii="Arial" w:hAnsi="Arial" w:eastAsia="黑体" w:cs="Times New Roman"/>
      <w:b/>
      <w:bCs/>
      <w:sz w:val="24"/>
      <w:szCs w:val="24"/>
    </w:rPr>
  </w:style>
  <w:style w:type="paragraph" w:customStyle="1" w:styleId="312">
    <w:name w:val="Table Paragraph"/>
    <w:basedOn w:val="1"/>
    <w:qFormat/>
    <w:uiPriority w:val="1"/>
    <w:pPr>
      <w:autoSpaceDE w:val="0"/>
      <w:autoSpaceDN w:val="0"/>
      <w:jc w:val="left"/>
    </w:pPr>
    <w:rPr>
      <w:rFonts w:ascii="宋体" w:hAnsi="宋体" w:cs="宋体"/>
      <w:kern w:val="0"/>
      <w:sz w:val="22"/>
      <w:szCs w:val="22"/>
    </w:rPr>
  </w:style>
  <w:style w:type="character" w:customStyle="1" w:styleId="313">
    <w:name w:val="fontstyle01"/>
    <w:basedOn w:val="47"/>
    <w:qFormat/>
    <w:uiPriority w:val="0"/>
    <w:rPr>
      <w:rFonts w:hint="eastAsia" w:ascii="宋体" w:hAnsi="宋体" w:eastAsia="宋体"/>
      <w:color w:val="00000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NSF</Company>
  <Pages>18</Pages>
  <Words>1475</Words>
  <Characters>8409</Characters>
  <Lines>70</Lines>
  <Paragraphs>19</Paragraphs>
  <TotalTime>1</TotalTime>
  <ScaleCrop>false</ScaleCrop>
  <LinksUpToDate>false</LinksUpToDate>
  <CharactersWithSpaces>9865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2023-07-19T01:32:00Z</dcterms:created>
  <dc:creator>USER</dc:creator>
  <cp:lastModifiedBy> </cp:lastModifiedBy>
  <cp:lastPrinted>2022-10-02T02:26:00Z</cp:lastPrinted>
  <dcterms:modified xsi:type="dcterms:W3CDTF">2023-07-25T01:45:45Z</dcterms:modified>
  <dc:title>第一卷</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E373E960E1BA4735B86135DFD0950AFB</vt:lpwstr>
  </property>
</Properties>
</file>