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EE537BA">
      <w:pPr>
        <w:pStyle w:val="64"/>
        <w:outlineLvl w:val="9"/>
        <w:rPr>
          <w:rFonts w:hint="eastAsia" w:ascii="仿宋" w:hAnsi="仿宋" w:eastAsia="仿宋" w:cs="仿宋"/>
          <w:color w:val="auto"/>
          <w:highlight w:val="none"/>
          <w:lang w:val="en-US" w:eastAsia="zh-CN"/>
        </w:rPr>
      </w:pPr>
      <w:bookmarkStart w:id="0" w:name="_Toc6697"/>
      <w:bookmarkStart w:id="1" w:name="_Toc93997352"/>
      <w:bookmarkStart w:id="2" w:name="_Toc93997259"/>
      <w:r>
        <w:rPr>
          <w:rFonts w:hint="eastAsia" w:ascii="仿宋" w:hAnsi="仿宋" w:eastAsia="仿宋" w:cs="仿宋"/>
          <w:color w:val="auto"/>
          <w:highlight w:val="none"/>
          <w:lang w:eastAsia="zh-CN"/>
        </w:rPr>
        <w:t>重庆东站站前片区地下管网改造提升工程(一期)-广茂大道局部改造升级</w:t>
      </w:r>
    </w:p>
    <w:p w14:paraId="035E366E">
      <w:pPr>
        <w:pStyle w:val="64"/>
        <w:outlineLvl w:val="9"/>
        <w:rPr>
          <w:rFonts w:hint="eastAsia" w:ascii="仿宋" w:hAnsi="仿宋" w:eastAsia="仿宋" w:cs="仿宋"/>
          <w:b/>
          <w:color w:val="auto"/>
          <w:kern w:val="0"/>
          <w:sz w:val="44"/>
          <w:szCs w:val="24"/>
          <w:highlight w:val="none"/>
          <w:lang w:val="en-US" w:eastAsia="zh-CN" w:bidi="ar-SA"/>
        </w:rPr>
        <w:sectPr>
          <w:headerReference r:id="rId5" w:type="default"/>
          <w:footerReference r:id="rId6" w:type="default"/>
          <w:pgSz w:w="23814" w:h="16839" w:orient="landscape"/>
          <w:pgMar w:top="1440" w:right="1080" w:bottom="1440" w:left="1080" w:header="851" w:footer="992" w:gutter="0"/>
          <w:pgBorders>
            <w:top w:val="none" w:sz="0" w:space="0"/>
            <w:left w:val="none" w:sz="0" w:space="0"/>
            <w:bottom w:val="none" w:sz="0" w:space="0"/>
            <w:right w:val="none" w:sz="0" w:space="0"/>
          </w:pgBorders>
          <w:pgNumType w:fmt="decimal" w:start="1"/>
          <w:cols w:space="425" w:num="1"/>
          <w:docGrid w:type="lines" w:linePitch="326" w:charSpace="0"/>
        </w:sectPr>
      </w:pPr>
      <w:r>
        <w:rPr>
          <w:rFonts w:hint="eastAsia" w:ascii="仿宋" w:hAnsi="仿宋" w:eastAsia="仿宋" w:cs="仿宋"/>
          <w:color w:val="auto"/>
          <w:highlight w:val="none"/>
        </w:rPr>
        <w:t>施工图设计说明</w:t>
      </w:r>
      <w:bookmarkEnd w:id="0"/>
    </w:p>
    <w:p w14:paraId="67419D6B">
      <w:pPr>
        <w:keepNext/>
        <w:keepLines/>
        <w:pageBreakBefore w:val="0"/>
        <w:widowControl w:val="0"/>
        <w:numPr>
          <w:ilvl w:val="0"/>
          <w:numId w:val="12"/>
        </w:numPr>
        <w:kinsoku/>
        <w:wordWrap/>
        <w:overflowPunct/>
        <w:topLinePunct w:val="0"/>
        <w:autoSpaceDE/>
        <w:autoSpaceDN/>
        <w:bidi w:val="0"/>
        <w:adjustRightInd/>
        <w:snapToGrid/>
        <w:ind w:left="0" w:leftChars="0" w:firstLine="0" w:firstLineChars="0"/>
        <w:jc w:val="left"/>
        <w:textAlignment w:val="auto"/>
        <w:outlineLvl w:val="0"/>
        <w:rPr>
          <w:rFonts w:hint="eastAsia" w:ascii="仿宋" w:hAnsi="仿宋" w:eastAsia="仿宋" w:cs="仿宋"/>
          <w:b/>
          <w:bCs/>
          <w:color w:val="auto"/>
          <w:sz w:val="28"/>
          <w:szCs w:val="28"/>
          <w:highlight w:val="none"/>
          <w:lang w:val="en-US" w:eastAsia="zh-CN"/>
        </w:rPr>
      </w:pPr>
      <w:bookmarkStart w:id="3" w:name="_Toc13152"/>
      <w:r>
        <w:rPr>
          <w:rFonts w:hint="eastAsia" w:ascii="仿宋" w:hAnsi="仿宋" w:eastAsia="仿宋" w:cs="仿宋"/>
          <w:b/>
          <w:bCs/>
          <w:color w:val="auto"/>
          <w:sz w:val="28"/>
          <w:szCs w:val="28"/>
          <w:highlight w:val="none"/>
          <w:lang w:val="en-US" w:eastAsia="zh-CN"/>
        </w:rPr>
        <w:t>工程概述</w:t>
      </w:r>
      <w:bookmarkEnd w:id="1"/>
      <w:bookmarkEnd w:id="2"/>
      <w:bookmarkEnd w:id="3"/>
    </w:p>
    <w:p w14:paraId="0DC57FC6">
      <w:pPr>
        <w:keepNext/>
        <w:keepLines/>
        <w:pageBreakBefore w:val="0"/>
        <w:widowControl w:val="0"/>
        <w:numPr>
          <w:ilvl w:val="1"/>
          <w:numId w:val="12"/>
        </w:numPr>
        <w:kinsoku/>
        <w:wordWrap/>
        <w:overflowPunct/>
        <w:topLinePunct w:val="0"/>
        <w:autoSpaceDE/>
        <w:autoSpaceDN/>
        <w:bidi w:val="0"/>
        <w:adjustRightInd/>
        <w:snapToGrid/>
        <w:spacing w:line="360" w:lineRule="auto"/>
        <w:ind w:firstLineChars="0"/>
        <w:jc w:val="left"/>
        <w:textAlignment w:val="auto"/>
        <w:outlineLvl w:val="1"/>
        <w:rPr>
          <w:rFonts w:hint="eastAsia" w:ascii="仿宋" w:hAnsi="仿宋" w:eastAsia="仿宋" w:cs="仿宋"/>
          <w:b/>
          <w:bCs/>
          <w:color w:val="auto"/>
          <w:sz w:val="28"/>
          <w:szCs w:val="28"/>
          <w:highlight w:val="none"/>
          <w:lang w:eastAsia="zh-CN"/>
        </w:rPr>
      </w:pPr>
      <w:r>
        <w:rPr>
          <w:rFonts w:hint="eastAsia" w:ascii="仿宋" w:hAnsi="仿宋" w:eastAsia="仿宋" w:cs="仿宋"/>
          <w:b/>
          <w:bCs/>
          <w:color w:val="auto"/>
          <w:sz w:val="28"/>
          <w:szCs w:val="28"/>
          <w:highlight w:val="none"/>
          <w:lang w:eastAsia="zh-CN"/>
        </w:rPr>
        <w:t>项目区位</w:t>
      </w:r>
    </w:p>
    <w:p w14:paraId="1CE3F526">
      <w:pPr>
        <w:pStyle w:val="21"/>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jc w:val="left"/>
        <w:textAlignment w:val="auto"/>
        <w:rPr>
          <w:rFonts w:hint="eastAsia" w:ascii="仿宋" w:hAnsi="仿宋" w:eastAsia="仿宋" w:cs="仿宋"/>
          <w:b w:val="0"/>
          <w:bCs/>
          <w:color w:val="auto"/>
          <w:sz w:val="24"/>
          <w:szCs w:val="24"/>
          <w:highlight w:val="none"/>
          <w:lang w:val="en-US" w:eastAsia="zh-CN" w:bidi="ar-SA"/>
        </w:rPr>
      </w:pPr>
      <w:r>
        <w:rPr>
          <w:rFonts w:hint="eastAsia" w:ascii="仿宋" w:hAnsi="仿宋" w:eastAsia="仿宋" w:cs="仿宋"/>
          <w:color w:val="auto"/>
          <w:highlight w:val="none"/>
        </w:rPr>
        <w:t>广茂大道地下管网及道路提升改造工程</w:t>
      </w:r>
      <w:r>
        <w:rPr>
          <w:rFonts w:hint="eastAsia" w:ascii="仿宋" w:hAnsi="仿宋" w:eastAsia="仿宋" w:cs="仿宋"/>
          <w:color w:val="auto"/>
          <w:sz w:val="24"/>
          <w:szCs w:val="24"/>
          <w:highlight w:val="none"/>
          <w:lang w:val="en-US" w:eastAsia="zh-CN" w:bidi="ar-SA"/>
        </w:rPr>
        <w:t>项目紧邻重庆东站，位于东站枢纽新城核心位置。</w:t>
      </w:r>
      <w:r>
        <w:rPr>
          <w:rFonts w:hint="eastAsia" w:ascii="仿宋" w:hAnsi="仿宋" w:eastAsia="仿宋" w:cs="仿宋"/>
          <w:b w:val="0"/>
          <w:bCs/>
          <w:color w:val="auto"/>
          <w:sz w:val="24"/>
          <w:szCs w:val="24"/>
          <w:highlight w:val="none"/>
          <w:lang w:val="en-US" w:eastAsia="zh-CN" w:bidi="ar-SA"/>
        </w:rPr>
        <w:t>包含广茂大道、机电路、开拓路及蔷薇路，全长约6.2公里。</w:t>
      </w:r>
    </w:p>
    <w:p w14:paraId="0159816C">
      <w:pPr>
        <w:pStyle w:val="21"/>
        <w:pageBreakBefore w:val="0"/>
        <w:widowControl w:val="0"/>
        <w:kinsoku/>
        <w:wordWrap/>
        <w:overflowPunct/>
        <w:topLinePunct w:val="0"/>
        <w:autoSpaceDE/>
        <w:autoSpaceDN/>
        <w:bidi w:val="0"/>
        <w:adjustRightInd/>
        <w:snapToGrid/>
        <w:textAlignment w:val="auto"/>
        <w:rPr>
          <w:rFonts w:hint="eastAsia" w:ascii="仿宋" w:hAnsi="仿宋" w:eastAsia="仿宋" w:cs="仿宋"/>
          <w:b w:val="0"/>
          <w:bCs/>
          <w:color w:val="auto"/>
          <w:sz w:val="24"/>
          <w:szCs w:val="24"/>
          <w:highlight w:val="none"/>
          <w:lang w:val="en-US" w:eastAsia="zh-CN" w:bidi="ar-SA"/>
        </w:rPr>
      </w:pPr>
      <w:r>
        <w:rPr>
          <w:rFonts w:hint="eastAsia" w:ascii="仿宋" w:hAnsi="仿宋" w:eastAsia="仿宋" w:cs="仿宋"/>
          <w:b w:val="0"/>
          <w:bCs/>
          <w:color w:val="auto"/>
          <w:sz w:val="24"/>
          <w:szCs w:val="24"/>
          <w:highlight w:val="none"/>
          <w:lang w:val="en-US" w:eastAsia="zh-CN" w:bidi="ar-SA"/>
        </w:rPr>
        <w:t>其中，广茂大道段全长约1.8Km，起于茶惠大道，止于兴塘路，道路等级为城市主干路，标准路幅宽度36m，双向6车道，是东站枢纽新城核心区最重要的主要路之一，贯通南北，承担了区域重要的交通集散及交通过境能够。</w:t>
      </w:r>
    </w:p>
    <w:p w14:paraId="7A4BDD35">
      <w:pPr>
        <w:pStyle w:val="21"/>
        <w:pageBreakBefore w:val="0"/>
        <w:widowControl w:val="0"/>
        <w:kinsoku/>
        <w:wordWrap/>
        <w:overflowPunct/>
        <w:topLinePunct w:val="0"/>
        <w:autoSpaceDE/>
        <w:autoSpaceDN/>
        <w:bidi w:val="0"/>
        <w:adjustRightInd/>
        <w:snapToGrid/>
        <w:textAlignment w:val="auto"/>
        <w:rPr>
          <w:rFonts w:hint="eastAsia" w:ascii="仿宋" w:hAnsi="仿宋" w:eastAsia="仿宋" w:cs="仿宋"/>
          <w:b w:val="0"/>
          <w:bCs/>
          <w:color w:val="auto"/>
          <w:sz w:val="24"/>
          <w:szCs w:val="24"/>
          <w:highlight w:val="none"/>
          <w:lang w:val="en-US" w:eastAsia="zh-CN" w:bidi="ar-SA"/>
        </w:rPr>
      </w:pPr>
      <w:r>
        <w:rPr>
          <w:rFonts w:hint="eastAsia" w:ascii="仿宋" w:hAnsi="仿宋" w:eastAsia="仿宋" w:cs="仿宋"/>
          <w:b w:val="0"/>
          <w:bCs/>
          <w:color w:val="auto"/>
          <w:sz w:val="24"/>
          <w:szCs w:val="24"/>
          <w:highlight w:val="none"/>
          <w:lang w:val="en-US" w:eastAsia="zh-CN" w:bidi="ar-SA"/>
        </w:rPr>
        <w:t>机电路段全长约2.7Km，起于南岸区界，止于茶惠大道，等级为城市次干路，标准路幅宽度32m，双向4车道，是区域南北向连接巴南鹿角片区的重要通道，承担了区域重要的交通集散及过境功能。</w:t>
      </w:r>
    </w:p>
    <w:p w14:paraId="53DA6A24">
      <w:pPr>
        <w:pStyle w:val="21"/>
        <w:pageBreakBefore w:val="0"/>
        <w:widowControl w:val="0"/>
        <w:kinsoku/>
        <w:wordWrap/>
        <w:overflowPunct/>
        <w:topLinePunct w:val="0"/>
        <w:autoSpaceDE/>
        <w:autoSpaceDN/>
        <w:bidi w:val="0"/>
        <w:adjustRightInd/>
        <w:snapToGrid/>
        <w:textAlignment w:val="auto"/>
        <w:rPr>
          <w:rFonts w:hint="eastAsia" w:ascii="仿宋" w:hAnsi="仿宋" w:eastAsia="仿宋" w:cs="仿宋"/>
          <w:b w:val="0"/>
          <w:bCs/>
          <w:color w:val="auto"/>
          <w:sz w:val="24"/>
          <w:szCs w:val="24"/>
          <w:highlight w:val="none"/>
          <w:lang w:val="en-US" w:eastAsia="zh-CN" w:bidi="ar-SA"/>
        </w:rPr>
      </w:pPr>
      <w:r>
        <w:rPr>
          <w:rFonts w:hint="eastAsia" w:ascii="仿宋" w:hAnsi="仿宋" w:eastAsia="仿宋" w:cs="仿宋"/>
          <w:b w:val="0"/>
          <w:bCs/>
          <w:color w:val="auto"/>
          <w:sz w:val="24"/>
          <w:szCs w:val="24"/>
          <w:highlight w:val="none"/>
          <w:lang w:val="en-US" w:eastAsia="zh-CN" w:bidi="ar-SA"/>
        </w:rPr>
        <w:t>开拓路、蔷薇路段全长约1.7Km。开拓路起于蔷薇路，止于广茂大道，长约0.7Km，等级为城市主干路，标准路幅宽度36m，双向6车道，直接与东站地下及地面交通系统连接，是重庆东站进出站联系中心城区最直接的主干路；蔷薇路起于莲池路，止于兴塘路，长约1.0Km，等级为城市次干路，标准路幅宽36m，双向4车道，是重庆东站进出站联系中心城区的重要道路。</w:t>
      </w:r>
    </w:p>
    <w:p w14:paraId="1C59FACC">
      <w:pPr>
        <w:pStyle w:val="21"/>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color w:val="auto"/>
          <w:highlight w:val="none"/>
        </w:rPr>
      </w:pPr>
      <w:r>
        <w:rPr>
          <w:color w:val="auto"/>
          <w:highlight w:val="none"/>
        </w:rPr>
        <w:drawing>
          <wp:inline distT="0" distB="0" distL="114300" distR="114300">
            <wp:extent cx="5949315" cy="3180715"/>
            <wp:effectExtent l="0" t="0" r="13335" b="635"/>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8"/>
                    <a:stretch>
                      <a:fillRect/>
                    </a:stretch>
                  </pic:blipFill>
                  <pic:spPr>
                    <a:xfrm>
                      <a:off x="0" y="0"/>
                      <a:ext cx="5949315" cy="3180715"/>
                    </a:xfrm>
                    <a:prstGeom prst="rect">
                      <a:avLst/>
                    </a:prstGeom>
                    <a:noFill/>
                    <a:ln>
                      <a:noFill/>
                    </a:ln>
                  </pic:spPr>
                </pic:pic>
              </a:graphicData>
            </a:graphic>
          </wp:inline>
        </w:drawing>
      </w:r>
    </w:p>
    <w:p w14:paraId="5BD413B7">
      <w:pPr>
        <w:pStyle w:val="296"/>
        <w:rPr>
          <w:rFonts w:hint="eastAsia" w:ascii="仿宋" w:hAnsi="仿宋" w:eastAsia="仿宋" w:cs="仿宋"/>
          <w:color w:val="auto"/>
          <w:highlight w:val="none"/>
        </w:rPr>
      </w:pPr>
      <w:r>
        <w:rPr>
          <w:rFonts w:hint="eastAsia" w:ascii="仿宋" w:hAnsi="仿宋" w:eastAsia="仿宋" w:cs="仿宋"/>
          <w:color w:val="auto"/>
          <w:highlight w:val="none"/>
        </w:rPr>
        <w:t>项目平面位置图</w:t>
      </w:r>
    </w:p>
    <w:p w14:paraId="5ED09D05">
      <w:pPr>
        <w:pStyle w:val="296"/>
        <w:keepNext w:val="0"/>
        <w:keepLines w:val="0"/>
        <w:pageBreakBefore w:val="0"/>
        <w:widowControl w:val="0"/>
        <w:kinsoku/>
        <w:wordWrap/>
        <w:overflowPunct/>
        <w:topLinePunct w:val="0"/>
        <w:autoSpaceDE/>
        <w:autoSpaceDN/>
        <w:bidi w:val="0"/>
        <w:adjustRightInd/>
        <w:snapToGrid/>
        <w:spacing w:line="360" w:lineRule="auto"/>
        <w:ind w:firstLine="490" w:firstLineChars="200"/>
        <w:jc w:val="left"/>
        <w:textAlignment w:val="auto"/>
        <w:rPr>
          <w:rFonts w:hint="default" w:ascii="仿宋" w:hAnsi="仿宋" w:eastAsia="仿宋" w:cs="仿宋"/>
          <w:b/>
          <w:bCs/>
          <w:color w:val="auto"/>
          <w:highlight w:val="none"/>
          <w:lang w:val="en-US" w:eastAsia="zh-CN"/>
        </w:rPr>
      </w:pPr>
      <w:r>
        <w:rPr>
          <w:rFonts w:hint="eastAsia" w:ascii="仿宋" w:hAnsi="仿宋" w:eastAsia="仿宋" w:cs="仿宋"/>
          <w:b/>
          <w:bCs/>
          <w:color w:val="auto"/>
          <w:highlight w:val="none"/>
          <w:lang w:eastAsia="zh-CN"/>
        </w:rPr>
        <w:t>本次设计路段为重庆东站站前片区地下管网改造提升工程(一期)-广茂大道局部改造升级，</w:t>
      </w:r>
      <w:r>
        <w:rPr>
          <w:rFonts w:hint="eastAsia" w:ascii="仿宋" w:hAnsi="仿宋" w:eastAsia="仿宋" w:cs="仿宋"/>
          <w:b/>
          <w:bCs/>
          <w:color w:val="auto"/>
          <w:highlight w:val="none"/>
          <w:lang w:val="en-US" w:eastAsia="zh-CN"/>
        </w:rPr>
        <w:t>实际实施范围为K0+047.19～K1+556.52,全长1509.33米。</w:t>
      </w:r>
    </w:p>
    <w:p w14:paraId="61605C2A">
      <w:pPr>
        <w:keepNext/>
        <w:keepLines/>
        <w:numPr>
          <w:ilvl w:val="0"/>
          <w:numId w:val="0"/>
        </w:numPr>
        <w:ind w:leftChars="0"/>
        <w:outlineLvl w:val="2"/>
        <w:rPr>
          <w:rFonts w:hint="eastAsia" w:ascii="仿宋" w:hAnsi="仿宋" w:eastAsia="仿宋" w:cs="仿宋"/>
          <w:b/>
          <w:bCs/>
          <w:color w:val="auto"/>
          <w:sz w:val="28"/>
          <w:szCs w:val="28"/>
          <w:highlight w:val="none"/>
          <w:lang w:eastAsia="zh-CN"/>
        </w:rPr>
      </w:pPr>
      <w:r>
        <w:rPr>
          <w:rFonts w:hint="eastAsia" w:ascii="仿宋" w:hAnsi="仿宋" w:eastAsia="仿宋" w:cs="仿宋"/>
          <w:b/>
          <w:bCs/>
          <w:color w:val="auto"/>
          <w:sz w:val="28"/>
          <w:szCs w:val="28"/>
          <w:highlight w:val="none"/>
          <w:lang w:val="en-US" w:eastAsia="zh-CN"/>
        </w:rPr>
        <w:t>1.2</w:t>
      </w:r>
      <w:r>
        <w:rPr>
          <w:rFonts w:hint="eastAsia" w:ascii="仿宋" w:hAnsi="仿宋" w:eastAsia="仿宋" w:cs="仿宋"/>
          <w:b/>
          <w:bCs/>
          <w:color w:val="auto"/>
          <w:sz w:val="28"/>
          <w:szCs w:val="28"/>
          <w:highlight w:val="none"/>
          <w:lang w:eastAsia="zh-CN"/>
        </w:rPr>
        <w:t>建设规模及内容</w:t>
      </w:r>
      <w:bookmarkStart w:id="122" w:name="_GoBack"/>
      <w:bookmarkEnd w:id="122"/>
    </w:p>
    <w:p w14:paraId="095ADCED">
      <w:pPr>
        <w:rPr>
          <w:rFonts w:hint="eastAsia" w:ascii="仿宋" w:hAnsi="仿宋" w:eastAsia="仿宋" w:cs="仿宋"/>
          <w:color w:val="auto"/>
          <w:kern w:val="0"/>
          <w:highlight w:val="none"/>
          <w:lang w:val="en-US" w:eastAsia="zh-CN" w:bidi="en-US"/>
        </w:rPr>
      </w:pPr>
      <w:r>
        <w:rPr>
          <w:rFonts w:hint="eastAsia" w:ascii="仿宋" w:hAnsi="仿宋" w:eastAsia="仿宋" w:cs="仿宋"/>
          <w:color w:val="auto"/>
          <w:kern w:val="0"/>
          <w:highlight w:val="none"/>
          <w:lang w:val="en-US" w:eastAsia="zh-CN" w:bidi="en-US"/>
        </w:rPr>
        <w:t>本段施工图设计包含内容主要分为道路修复提升、植物景观修复提升、地下管网修复提升三部分。</w:t>
      </w:r>
    </w:p>
    <w:p w14:paraId="4896197F">
      <w:pPr>
        <w:pStyle w:val="296"/>
        <w:rPr>
          <w:rFonts w:hint="eastAsia" w:ascii="仿宋" w:hAnsi="仿宋" w:eastAsia="仿宋" w:cs="仿宋"/>
          <w:color w:val="auto"/>
          <w:highlight w:val="none"/>
        </w:rPr>
      </w:pPr>
      <w:r>
        <w:rPr>
          <w:rFonts w:hint="eastAsia" w:ascii="仿宋" w:hAnsi="仿宋" w:eastAsia="仿宋" w:cs="仿宋"/>
          <w:color w:val="auto"/>
          <w:highlight w:val="none"/>
          <w:lang w:eastAsia="zh-CN"/>
        </w:rPr>
        <w:t>项目规模及主要内容</w:t>
      </w:r>
      <w:r>
        <w:rPr>
          <w:rFonts w:hint="eastAsia" w:ascii="仿宋" w:hAnsi="仿宋" w:eastAsia="仿宋" w:cs="仿宋"/>
          <w:color w:val="auto"/>
          <w:highlight w:val="none"/>
        </w:rPr>
        <w:t>一览表</w:t>
      </w:r>
    </w:p>
    <w:tbl>
      <w:tblPr>
        <w:tblStyle w:val="88"/>
        <w:tblW w:w="4855" w:type="pct"/>
        <w:tblInd w:w="198" w:type="dxa"/>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CellMar>
          <w:top w:w="0" w:type="dxa"/>
          <w:left w:w="108" w:type="dxa"/>
          <w:bottom w:w="0" w:type="dxa"/>
          <w:right w:w="108" w:type="dxa"/>
        </w:tblCellMar>
      </w:tblPr>
      <w:tblGrid>
        <w:gridCol w:w="1317"/>
        <w:gridCol w:w="2187"/>
        <w:gridCol w:w="5931"/>
        <w:gridCol w:w="1081"/>
      </w:tblGrid>
      <w:tr w14:paraId="55C3969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22" w:hRule="exact"/>
          <w:tblHeader/>
        </w:trPr>
        <w:tc>
          <w:tcPr>
            <w:tcW w:w="626" w:type="pct"/>
            <w:tcBorders>
              <w:top w:val="single" w:color="auto" w:sz="4" w:space="0"/>
              <w:left w:val="single" w:color="auto" w:sz="4" w:space="0"/>
              <w:bottom w:val="single" w:color="auto" w:sz="4" w:space="0"/>
              <w:right w:val="single" w:color="auto" w:sz="4" w:space="0"/>
            </w:tcBorders>
            <w:shd w:val="clear" w:color="auto" w:fill="auto"/>
            <w:noWrap/>
            <w:vAlign w:val="center"/>
          </w:tcPr>
          <w:p w14:paraId="02C32A38">
            <w:pPr>
              <w:pStyle w:val="296"/>
              <w:rPr>
                <w:rFonts w:hint="eastAsia" w:ascii="仿宋" w:hAnsi="仿宋" w:eastAsia="仿宋" w:cs="仿宋"/>
                <w:color w:val="auto"/>
                <w:highlight w:val="none"/>
              </w:rPr>
            </w:pPr>
            <w:r>
              <w:rPr>
                <w:rFonts w:hint="eastAsia" w:ascii="仿宋" w:hAnsi="仿宋" w:eastAsia="仿宋" w:cs="仿宋"/>
                <w:color w:val="auto"/>
                <w:highlight w:val="none"/>
              </w:rPr>
              <w:t>序号</w:t>
            </w:r>
          </w:p>
        </w:tc>
        <w:tc>
          <w:tcPr>
            <w:tcW w:w="1039" w:type="pct"/>
            <w:tcBorders>
              <w:top w:val="single" w:color="auto" w:sz="4" w:space="0"/>
              <w:left w:val="single" w:color="auto" w:sz="4" w:space="0"/>
              <w:bottom w:val="single" w:color="auto" w:sz="4" w:space="0"/>
              <w:right w:val="single" w:color="auto" w:sz="4" w:space="0"/>
            </w:tcBorders>
            <w:shd w:val="clear" w:color="auto" w:fill="auto"/>
            <w:noWrap/>
            <w:vAlign w:val="center"/>
          </w:tcPr>
          <w:p w14:paraId="11F5D3AC">
            <w:pPr>
              <w:pStyle w:val="296"/>
              <w:rPr>
                <w:rFonts w:hint="eastAsia" w:ascii="仿宋" w:hAnsi="仿宋" w:eastAsia="仿宋" w:cs="仿宋"/>
                <w:color w:val="auto"/>
                <w:highlight w:val="none"/>
              </w:rPr>
            </w:pPr>
            <w:r>
              <w:rPr>
                <w:rFonts w:hint="eastAsia" w:ascii="仿宋" w:hAnsi="仿宋" w:eastAsia="仿宋" w:cs="仿宋"/>
                <w:color w:val="auto"/>
                <w:highlight w:val="none"/>
              </w:rPr>
              <w:t>路段名称</w:t>
            </w:r>
          </w:p>
        </w:tc>
        <w:tc>
          <w:tcPr>
            <w:tcW w:w="2820" w:type="pct"/>
            <w:tcBorders>
              <w:top w:val="single" w:color="auto" w:sz="4" w:space="0"/>
              <w:left w:val="single" w:color="auto" w:sz="4" w:space="0"/>
              <w:bottom w:val="single" w:color="auto" w:sz="4" w:space="0"/>
              <w:right w:val="single" w:color="auto" w:sz="4" w:space="0"/>
            </w:tcBorders>
            <w:vAlign w:val="center"/>
          </w:tcPr>
          <w:p w14:paraId="10938306">
            <w:pPr>
              <w:pStyle w:val="296"/>
              <w:rPr>
                <w:rFonts w:hint="eastAsia" w:ascii="仿宋" w:hAnsi="仿宋" w:eastAsia="仿宋" w:cs="仿宋"/>
                <w:color w:val="auto"/>
                <w:highlight w:val="none"/>
              </w:rPr>
            </w:pPr>
            <w:r>
              <w:rPr>
                <w:rFonts w:hint="eastAsia" w:ascii="仿宋" w:hAnsi="仿宋" w:eastAsia="仿宋" w:cs="仿宋"/>
                <w:color w:val="auto"/>
                <w:highlight w:val="none"/>
              </w:rPr>
              <w:t>主要改造内容</w:t>
            </w:r>
          </w:p>
        </w:tc>
        <w:tc>
          <w:tcPr>
            <w:tcW w:w="513" w:type="pct"/>
            <w:tcBorders>
              <w:top w:val="single" w:color="auto" w:sz="4" w:space="0"/>
              <w:left w:val="single" w:color="auto" w:sz="4" w:space="0"/>
              <w:bottom w:val="single" w:color="auto" w:sz="4" w:space="0"/>
              <w:right w:val="single" w:color="auto" w:sz="4" w:space="0"/>
            </w:tcBorders>
            <w:shd w:val="clear" w:color="auto" w:fill="auto"/>
            <w:noWrap/>
            <w:vAlign w:val="center"/>
          </w:tcPr>
          <w:p w14:paraId="2835B0B3">
            <w:pPr>
              <w:pStyle w:val="296"/>
              <w:rPr>
                <w:rFonts w:hint="eastAsia" w:ascii="仿宋" w:hAnsi="仿宋" w:eastAsia="仿宋" w:cs="仿宋"/>
                <w:color w:val="auto"/>
                <w:highlight w:val="none"/>
              </w:rPr>
            </w:pPr>
            <w:r>
              <w:rPr>
                <w:rFonts w:hint="eastAsia" w:ascii="仿宋" w:hAnsi="仿宋" w:eastAsia="仿宋" w:cs="仿宋"/>
                <w:color w:val="auto"/>
                <w:highlight w:val="none"/>
              </w:rPr>
              <w:t>备注</w:t>
            </w:r>
          </w:p>
        </w:tc>
      </w:tr>
      <w:tr w14:paraId="1E00D28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728" w:hRule="exact"/>
        </w:trPr>
        <w:tc>
          <w:tcPr>
            <w:tcW w:w="626" w:type="pct"/>
            <w:tcBorders>
              <w:top w:val="single" w:color="auto" w:sz="4" w:space="0"/>
              <w:left w:val="single" w:color="auto" w:sz="4" w:space="0"/>
              <w:bottom w:val="single" w:color="auto" w:sz="4" w:space="0"/>
              <w:right w:val="single" w:color="auto" w:sz="4" w:space="0"/>
            </w:tcBorders>
            <w:shd w:val="clear" w:color="auto" w:fill="auto"/>
            <w:noWrap/>
            <w:vAlign w:val="center"/>
          </w:tcPr>
          <w:p w14:paraId="1B80048A">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w:t>
            </w:r>
          </w:p>
        </w:tc>
        <w:tc>
          <w:tcPr>
            <w:tcW w:w="1039" w:type="pct"/>
            <w:vMerge w:val="restart"/>
            <w:tcBorders>
              <w:top w:val="single" w:color="auto" w:sz="4" w:space="0"/>
              <w:left w:val="single" w:color="auto" w:sz="4" w:space="0"/>
              <w:right w:val="single" w:color="auto" w:sz="4" w:space="0"/>
            </w:tcBorders>
            <w:shd w:val="clear" w:color="auto" w:fill="auto"/>
            <w:noWrap/>
            <w:vAlign w:val="center"/>
          </w:tcPr>
          <w:p w14:paraId="6003E26A">
            <w:pPr>
              <w:pStyle w:val="296"/>
              <w:ind w:firstLine="0" w:firstLineChars="0"/>
              <w:jc w:val="both"/>
              <w:rPr>
                <w:rFonts w:hint="eastAsia" w:ascii="仿宋" w:hAnsi="仿宋" w:eastAsia="仿宋" w:cs="仿宋"/>
                <w:color w:val="auto"/>
                <w:kern w:val="0"/>
                <w:highlight w:val="none"/>
                <w:lang w:val="en-US" w:eastAsia="zh-CN" w:bidi="en-US"/>
              </w:rPr>
            </w:pPr>
            <w:r>
              <w:rPr>
                <w:rFonts w:hint="eastAsia" w:ascii="仿宋" w:hAnsi="仿宋" w:eastAsia="仿宋" w:cs="仿宋"/>
                <w:color w:val="auto"/>
                <w:kern w:val="0"/>
                <w:highlight w:val="none"/>
                <w:lang w:val="en-US" w:eastAsia="zh-CN" w:bidi="en-US"/>
              </w:rPr>
              <w:t>重庆东站站前片区地下管网改造提升工程(一期)-广茂大道局部改造升级</w:t>
            </w:r>
          </w:p>
        </w:tc>
        <w:tc>
          <w:tcPr>
            <w:tcW w:w="2820" w:type="pct"/>
            <w:tcBorders>
              <w:top w:val="single" w:color="auto" w:sz="4" w:space="0"/>
              <w:left w:val="single" w:color="auto" w:sz="4" w:space="0"/>
              <w:bottom w:val="single" w:color="auto" w:sz="4" w:space="0"/>
              <w:right w:val="single" w:color="auto" w:sz="4" w:space="0"/>
            </w:tcBorders>
            <w:vAlign w:val="center"/>
          </w:tcPr>
          <w:p w14:paraId="3E1EDB68">
            <w:pPr>
              <w:pStyle w:val="296"/>
              <w:ind w:firstLine="0" w:firstLineChars="0"/>
              <w:jc w:val="both"/>
              <w:rPr>
                <w:rFonts w:hint="default" w:ascii="仿宋" w:hAnsi="仿宋" w:eastAsia="仿宋" w:cs="仿宋"/>
                <w:color w:val="auto"/>
                <w:highlight w:val="none"/>
                <w:lang w:val="en-US" w:eastAsia="zh-CN"/>
              </w:rPr>
            </w:pPr>
            <w:r>
              <w:rPr>
                <w:rFonts w:hint="eastAsia" w:ascii="仿宋" w:hAnsi="仿宋" w:eastAsia="仿宋" w:cs="仿宋"/>
                <w:b w:val="0"/>
                <w:bCs w:val="0"/>
                <w:color w:val="auto"/>
                <w:kern w:val="0"/>
                <w:highlight w:val="none"/>
                <w:lang w:val="en-US" w:eastAsia="zh-CN" w:bidi="en-US"/>
              </w:rPr>
              <w:t>道路修复提升：本次改造车行道铺装总面积约6925平方米，其中Ⅱ类修复面积约3465平方米，Ш类修复面积约3460平方米，恢复路面热熔标线约330平方米。人行道修补面积约821平方米。</w:t>
            </w:r>
          </w:p>
        </w:tc>
        <w:tc>
          <w:tcPr>
            <w:tcW w:w="513" w:type="pct"/>
            <w:tcBorders>
              <w:top w:val="single" w:color="auto" w:sz="4" w:space="0"/>
              <w:left w:val="single" w:color="auto" w:sz="4" w:space="0"/>
              <w:bottom w:val="single" w:color="auto" w:sz="4" w:space="0"/>
              <w:right w:val="single" w:color="auto" w:sz="4" w:space="0"/>
            </w:tcBorders>
            <w:shd w:val="clear" w:color="auto" w:fill="auto"/>
            <w:noWrap/>
            <w:vAlign w:val="center"/>
          </w:tcPr>
          <w:p w14:paraId="683A9229">
            <w:pPr>
              <w:pStyle w:val="296"/>
              <w:rPr>
                <w:rFonts w:hint="eastAsia" w:ascii="仿宋" w:hAnsi="仿宋" w:eastAsia="仿宋" w:cs="仿宋"/>
                <w:color w:val="auto"/>
                <w:highlight w:val="none"/>
              </w:rPr>
            </w:pPr>
          </w:p>
        </w:tc>
      </w:tr>
      <w:tr w14:paraId="0A3E62E7">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660" w:hRule="exact"/>
        </w:trPr>
        <w:tc>
          <w:tcPr>
            <w:tcW w:w="626"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37C7F36">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2</w:t>
            </w:r>
          </w:p>
        </w:tc>
        <w:tc>
          <w:tcPr>
            <w:tcW w:w="1039" w:type="pct"/>
            <w:vMerge w:val="continue"/>
            <w:tcBorders>
              <w:left w:val="single" w:color="auto" w:sz="4" w:space="0"/>
              <w:right w:val="single" w:color="auto" w:sz="4" w:space="0"/>
            </w:tcBorders>
            <w:shd w:val="clear" w:color="auto" w:fill="auto"/>
            <w:noWrap/>
            <w:vAlign w:val="center"/>
          </w:tcPr>
          <w:p w14:paraId="1E3AFFDB">
            <w:pPr>
              <w:pStyle w:val="296"/>
              <w:ind w:firstLine="0" w:firstLineChars="0"/>
              <w:rPr>
                <w:rFonts w:hint="eastAsia" w:ascii="仿宋" w:hAnsi="仿宋" w:eastAsia="仿宋" w:cs="仿宋"/>
                <w:color w:val="auto"/>
                <w:sz w:val="24"/>
                <w:szCs w:val="24"/>
                <w:highlight w:val="none"/>
                <w:lang w:eastAsia="zh-CN"/>
              </w:rPr>
            </w:pPr>
          </w:p>
        </w:tc>
        <w:tc>
          <w:tcPr>
            <w:tcW w:w="2820" w:type="pct"/>
            <w:tcBorders>
              <w:top w:val="single" w:color="auto" w:sz="4" w:space="0"/>
              <w:left w:val="single" w:color="auto" w:sz="4" w:space="0"/>
              <w:bottom w:val="single" w:color="auto" w:sz="4" w:space="0"/>
              <w:right w:val="single" w:color="auto" w:sz="4" w:space="0"/>
            </w:tcBorders>
            <w:vAlign w:val="center"/>
          </w:tcPr>
          <w:p w14:paraId="111CAC41">
            <w:pPr>
              <w:pStyle w:val="296"/>
              <w:ind w:firstLine="0" w:firstLineChars="0"/>
              <w:jc w:val="both"/>
              <w:rPr>
                <w:rFonts w:hint="eastAsia" w:ascii="仿宋" w:hAnsi="仿宋" w:eastAsia="仿宋" w:cs="仿宋"/>
                <w:color w:val="auto"/>
                <w:highlight w:val="none"/>
                <w:lang w:eastAsia="zh-CN"/>
              </w:rPr>
            </w:pPr>
            <w:r>
              <w:rPr>
                <w:rFonts w:hint="eastAsia" w:ascii="仿宋" w:hAnsi="仿宋" w:eastAsia="仿宋" w:cs="仿宋"/>
                <w:color w:val="auto"/>
                <w:kern w:val="0"/>
                <w:highlight w:val="none"/>
                <w:lang w:val="en-US" w:eastAsia="zh-CN" w:bidi="en-US"/>
              </w:rPr>
              <w:t>植物景观修复提升：绿化面积约611.06平方米。</w:t>
            </w:r>
          </w:p>
        </w:tc>
        <w:tc>
          <w:tcPr>
            <w:tcW w:w="513" w:type="pct"/>
            <w:tcBorders>
              <w:top w:val="single" w:color="auto" w:sz="4" w:space="0"/>
              <w:left w:val="single" w:color="auto" w:sz="4" w:space="0"/>
              <w:bottom w:val="single" w:color="auto" w:sz="4" w:space="0"/>
              <w:right w:val="single" w:color="auto" w:sz="4" w:space="0"/>
            </w:tcBorders>
            <w:shd w:val="clear" w:color="auto" w:fill="auto"/>
            <w:noWrap/>
            <w:vAlign w:val="center"/>
          </w:tcPr>
          <w:p w14:paraId="36755E00">
            <w:pPr>
              <w:pStyle w:val="296"/>
              <w:rPr>
                <w:rFonts w:hint="eastAsia" w:ascii="仿宋" w:hAnsi="仿宋" w:eastAsia="仿宋" w:cs="仿宋"/>
                <w:color w:val="auto"/>
                <w:highlight w:val="none"/>
              </w:rPr>
            </w:pPr>
          </w:p>
        </w:tc>
      </w:tr>
      <w:tr w14:paraId="02DF1DD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451" w:hRule="exact"/>
        </w:trPr>
        <w:tc>
          <w:tcPr>
            <w:tcW w:w="626" w:type="pct"/>
            <w:tcBorders>
              <w:top w:val="single" w:color="auto" w:sz="4" w:space="0"/>
              <w:left w:val="single" w:color="auto" w:sz="4" w:space="0"/>
              <w:bottom w:val="single" w:color="auto" w:sz="4" w:space="0"/>
              <w:right w:val="single" w:color="auto" w:sz="4" w:space="0"/>
            </w:tcBorders>
            <w:shd w:val="clear" w:color="auto" w:fill="auto"/>
            <w:noWrap/>
            <w:vAlign w:val="center"/>
          </w:tcPr>
          <w:p w14:paraId="6D87C28B">
            <w:pPr>
              <w:pStyle w:val="296"/>
              <w:rPr>
                <w:rFonts w:hint="default" w:ascii="仿宋" w:hAnsi="仿宋" w:eastAsia="仿宋" w:cs="仿宋"/>
                <w:color w:val="auto"/>
                <w:highlight w:val="none"/>
                <w:lang w:val="en-US" w:eastAsia="zh-CN"/>
              </w:rPr>
            </w:pPr>
            <w:bookmarkStart w:id="4" w:name="_Toc2778"/>
            <w:bookmarkStart w:id="5" w:name="_Toc93997355"/>
            <w:bookmarkStart w:id="6" w:name="_Toc93997262"/>
            <w:r>
              <w:rPr>
                <w:rFonts w:hint="eastAsia" w:ascii="仿宋" w:hAnsi="仿宋" w:eastAsia="仿宋" w:cs="仿宋"/>
                <w:color w:val="auto"/>
                <w:highlight w:val="none"/>
                <w:lang w:val="en-US" w:eastAsia="zh-CN"/>
              </w:rPr>
              <w:t>3</w:t>
            </w:r>
          </w:p>
        </w:tc>
        <w:tc>
          <w:tcPr>
            <w:tcW w:w="1039" w:type="pct"/>
            <w:vMerge w:val="continue"/>
            <w:tcBorders>
              <w:left w:val="single" w:color="auto" w:sz="4" w:space="0"/>
              <w:bottom w:val="single" w:color="auto" w:sz="4" w:space="0"/>
              <w:right w:val="single" w:color="auto" w:sz="4" w:space="0"/>
            </w:tcBorders>
            <w:shd w:val="clear" w:color="auto" w:fill="auto"/>
            <w:noWrap/>
            <w:vAlign w:val="center"/>
          </w:tcPr>
          <w:p w14:paraId="058C19E0">
            <w:pPr>
              <w:pStyle w:val="296"/>
              <w:ind w:firstLine="0" w:firstLineChars="0"/>
              <w:rPr>
                <w:rFonts w:hint="eastAsia" w:ascii="仿宋" w:hAnsi="仿宋" w:eastAsia="仿宋" w:cs="仿宋"/>
                <w:color w:val="auto"/>
                <w:kern w:val="0"/>
                <w:highlight w:val="none"/>
                <w:lang w:val="en-US" w:eastAsia="zh-CN" w:bidi="en-US"/>
              </w:rPr>
            </w:pPr>
          </w:p>
        </w:tc>
        <w:tc>
          <w:tcPr>
            <w:tcW w:w="2820" w:type="pct"/>
            <w:tcBorders>
              <w:top w:val="single" w:color="auto" w:sz="4" w:space="0"/>
              <w:left w:val="single" w:color="auto" w:sz="4" w:space="0"/>
              <w:bottom w:val="single" w:color="auto" w:sz="4" w:space="0"/>
              <w:right w:val="single" w:color="auto" w:sz="4" w:space="0"/>
            </w:tcBorders>
            <w:vAlign w:val="center"/>
          </w:tcPr>
          <w:p w14:paraId="38392750">
            <w:pPr>
              <w:pStyle w:val="296"/>
              <w:ind w:firstLine="0" w:firstLineChars="0"/>
              <w:jc w:val="both"/>
              <w:rPr>
                <w:rFonts w:hint="eastAsia" w:ascii="仿宋" w:hAnsi="仿宋" w:eastAsia="仿宋" w:cs="仿宋"/>
                <w:color w:val="auto"/>
                <w:highlight w:val="none"/>
                <w:lang w:eastAsia="zh-CN"/>
              </w:rPr>
            </w:pPr>
            <w:r>
              <w:rPr>
                <w:rFonts w:hint="eastAsia" w:ascii="仿宋" w:hAnsi="仿宋" w:eastAsia="仿宋" w:cs="仿宋"/>
                <w:color w:val="auto"/>
                <w:kern w:val="0"/>
                <w:highlight w:val="none"/>
                <w:lang w:val="en-US" w:eastAsia="zh-CN" w:bidi="en-US"/>
              </w:rPr>
              <w:t>地下管网修复：现状雨水篦子更换86座，现状雨水口拆除新建7座，现状污水检查井井盖、井座更换7座，现状雨水检查井井盖、井座更换4座，防坠网更换103套。现状给水、电力、通信、路灯井盖更换158座。</w:t>
            </w:r>
          </w:p>
        </w:tc>
        <w:tc>
          <w:tcPr>
            <w:tcW w:w="513" w:type="pct"/>
            <w:tcBorders>
              <w:top w:val="single" w:color="auto" w:sz="4" w:space="0"/>
              <w:left w:val="single" w:color="auto" w:sz="4" w:space="0"/>
              <w:bottom w:val="single" w:color="auto" w:sz="4" w:space="0"/>
              <w:right w:val="single" w:color="auto" w:sz="4" w:space="0"/>
            </w:tcBorders>
            <w:shd w:val="clear" w:color="auto" w:fill="auto"/>
            <w:noWrap/>
            <w:vAlign w:val="center"/>
          </w:tcPr>
          <w:p w14:paraId="784DEBD9">
            <w:pPr>
              <w:pStyle w:val="296"/>
              <w:rPr>
                <w:rFonts w:hint="eastAsia" w:ascii="仿宋" w:hAnsi="仿宋" w:eastAsia="仿宋" w:cs="仿宋"/>
                <w:color w:val="auto"/>
                <w:highlight w:val="none"/>
              </w:rPr>
            </w:pPr>
          </w:p>
        </w:tc>
      </w:tr>
    </w:tbl>
    <w:p w14:paraId="18324518">
      <w:pPr>
        <w:keepNext/>
        <w:keepLines/>
        <w:pageBreakBefore w:val="0"/>
        <w:widowControl w:val="0"/>
        <w:numPr>
          <w:ilvl w:val="0"/>
          <w:numId w:val="0"/>
        </w:numPr>
        <w:kinsoku/>
        <w:wordWrap/>
        <w:overflowPunct/>
        <w:topLinePunct w:val="0"/>
        <w:autoSpaceDE/>
        <w:autoSpaceDN/>
        <w:bidi w:val="0"/>
        <w:adjustRightInd/>
        <w:snapToGrid/>
        <w:spacing w:line="360" w:lineRule="auto"/>
        <w:ind w:leftChars="0"/>
        <w:jc w:val="left"/>
        <w:textAlignment w:val="auto"/>
        <w:outlineLvl w:val="1"/>
        <w:rPr>
          <w:rFonts w:hint="eastAsia" w:ascii="仿宋" w:hAnsi="仿宋" w:eastAsia="仿宋" w:cs="仿宋"/>
          <w:b/>
          <w:bCs/>
          <w:color w:val="auto"/>
          <w:sz w:val="28"/>
          <w:szCs w:val="28"/>
          <w:highlight w:val="none"/>
          <w:lang w:eastAsia="zh-CN"/>
        </w:rPr>
      </w:pPr>
      <w:r>
        <w:rPr>
          <w:rFonts w:hint="eastAsia" w:ascii="仿宋" w:hAnsi="仿宋" w:eastAsia="仿宋" w:cs="仿宋"/>
          <w:b/>
          <w:bCs/>
          <w:color w:val="auto"/>
          <w:sz w:val="28"/>
          <w:szCs w:val="28"/>
          <w:highlight w:val="none"/>
          <w:lang w:val="en-US" w:eastAsia="zh-CN"/>
        </w:rPr>
        <w:t>1.3</w:t>
      </w:r>
      <w:r>
        <w:rPr>
          <w:rFonts w:hint="eastAsia" w:ascii="仿宋" w:hAnsi="仿宋" w:eastAsia="仿宋" w:cs="仿宋"/>
          <w:b/>
          <w:bCs/>
          <w:color w:val="auto"/>
          <w:sz w:val="28"/>
          <w:szCs w:val="28"/>
          <w:highlight w:val="none"/>
          <w:lang w:eastAsia="zh-CN"/>
        </w:rPr>
        <w:t>设计依据</w:t>
      </w:r>
      <w:bookmarkEnd w:id="4"/>
      <w:bookmarkEnd w:id="5"/>
      <w:bookmarkEnd w:id="6"/>
    </w:p>
    <w:p w14:paraId="1B578CDA">
      <w:pPr>
        <w:rPr>
          <w:rFonts w:hint="eastAsia" w:ascii="仿宋" w:hAnsi="仿宋" w:eastAsia="仿宋" w:cs="仿宋"/>
          <w:color w:val="auto"/>
          <w:highlight w:val="none"/>
          <w:lang w:eastAsia="zh-CN"/>
        </w:rPr>
      </w:pPr>
      <w:bookmarkStart w:id="7" w:name="_Toc93997263"/>
      <w:bookmarkStart w:id="8" w:name="_Toc93997356"/>
      <w:r>
        <w:rPr>
          <w:rFonts w:hint="eastAsia" w:ascii="仿宋" w:hAnsi="仿宋" w:eastAsia="仿宋" w:cs="仿宋"/>
          <w:color w:val="auto"/>
          <w:highlight w:val="none"/>
          <w:lang w:eastAsia="zh-CN"/>
        </w:rPr>
        <w:t>（1）我司与建设方签定的设计合同；</w:t>
      </w:r>
    </w:p>
    <w:p w14:paraId="22C97239">
      <w:pPr>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lang w:eastAsia="zh-CN"/>
        </w:rPr>
        <w:t>）项目业主提供的1:500地形图；</w:t>
      </w:r>
    </w:p>
    <w:p w14:paraId="5C0EDA89">
      <w:pPr>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3</w:t>
      </w:r>
      <w:r>
        <w:rPr>
          <w:rFonts w:hint="eastAsia" w:ascii="仿宋" w:hAnsi="仿宋" w:eastAsia="仿宋" w:cs="仿宋"/>
          <w:color w:val="auto"/>
          <w:highlight w:val="none"/>
          <w:lang w:eastAsia="zh-CN"/>
        </w:rPr>
        <w:t>）项目概念方案及可研审查意见；</w:t>
      </w:r>
    </w:p>
    <w:p w14:paraId="023CF401">
      <w:pPr>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4</w:t>
      </w:r>
      <w:r>
        <w:rPr>
          <w:rFonts w:hint="eastAsia" w:ascii="仿宋" w:hAnsi="仿宋" w:eastAsia="仿宋" w:cs="仿宋"/>
          <w:color w:val="auto"/>
          <w:highlight w:val="none"/>
          <w:lang w:eastAsia="zh-CN"/>
        </w:rPr>
        <w:t>）现场调查资料；</w:t>
      </w:r>
    </w:p>
    <w:p w14:paraId="1DACD21C">
      <w:pPr>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5</w:t>
      </w:r>
      <w:r>
        <w:rPr>
          <w:rFonts w:hint="eastAsia" w:ascii="仿宋" w:hAnsi="仿宋" w:eastAsia="仿宋" w:cs="仿宋"/>
          <w:color w:val="auto"/>
          <w:highlight w:val="none"/>
          <w:lang w:eastAsia="zh-CN"/>
        </w:rPr>
        <w:t>）周边在建项目设计资料；</w:t>
      </w:r>
    </w:p>
    <w:p w14:paraId="60D4DE48">
      <w:pPr>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6</w:t>
      </w:r>
      <w:r>
        <w:rPr>
          <w:rFonts w:hint="eastAsia" w:ascii="仿宋" w:hAnsi="仿宋" w:eastAsia="仿宋" w:cs="仿宋"/>
          <w:color w:val="auto"/>
          <w:highlight w:val="none"/>
          <w:lang w:eastAsia="zh-CN"/>
        </w:rPr>
        <w:t>）相关地方及国家规范。</w:t>
      </w:r>
    </w:p>
    <w:bookmarkEnd w:id="7"/>
    <w:bookmarkEnd w:id="8"/>
    <w:p w14:paraId="386EEF65">
      <w:pPr>
        <w:keepNext/>
        <w:keepLines/>
        <w:pageBreakBefore w:val="0"/>
        <w:widowControl w:val="0"/>
        <w:numPr>
          <w:ilvl w:val="0"/>
          <w:numId w:val="0"/>
        </w:numPr>
        <w:kinsoku/>
        <w:wordWrap/>
        <w:overflowPunct/>
        <w:topLinePunct w:val="0"/>
        <w:autoSpaceDE/>
        <w:autoSpaceDN/>
        <w:bidi w:val="0"/>
        <w:adjustRightInd/>
        <w:snapToGrid/>
        <w:spacing w:line="360" w:lineRule="auto"/>
        <w:ind w:leftChars="0"/>
        <w:jc w:val="left"/>
        <w:textAlignment w:val="auto"/>
        <w:outlineLvl w:val="1"/>
        <w:rPr>
          <w:rFonts w:hint="eastAsia" w:ascii="仿宋" w:hAnsi="仿宋" w:eastAsia="仿宋" w:cs="仿宋"/>
          <w:b/>
          <w:bCs/>
          <w:color w:val="auto"/>
          <w:sz w:val="28"/>
          <w:szCs w:val="28"/>
          <w:highlight w:val="none"/>
          <w:lang w:eastAsia="zh-CN"/>
        </w:rPr>
      </w:pPr>
      <w:bookmarkStart w:id="9" w:name="_Toc93997357"/>
      <w:bookmarkStart w:id="10" w:name="_Toc518287990"/>
      <w:bookmarkStart w:id="11" w:name="_Toc93997264"/>
      <w:bookmarkStart w:id="12" w:name="_Toc4090"/>
      <w:r>
        <w:rPr>
          <w:rFonts w:hint="eastAsia" w:ascii="仿宋" w:hAnsi="仿宋" w:eastAsia="仿宋" w:cs="仿宋"/>
          <w:b/>
          <w:bCs/>
          <w:color w:val="auto"/>
          <w:sz w:val="28"/>
          <w:szCs w:val="28"/>
          <w:highlight w:val="none"/>
          <w:lang w:val="en-US" w:eastAsia="zh-CN"/>
        </w:rPr>
        <w:t>1.4上阶段审查意见的执行情况</w:t>
      </w:r>
      <w:bookmarkEnd w:id="9"/>
      <w:bookmarkEnd w:id="10"/>
      <w:bookmarkEnd w:id="11"/>
      <w:bookmarkEnd w:id="12"/>
    </w:p>
    <w:p w14:paraId="34FEDC04">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202</w:t>
      </w:r>
      <w:r>
        <w:rPr>
          <w:rFonts w:hint="eastAsia" w:ascii="仿宋" w:hAnsi="仿宋" w:eastAsia="仿宋" w:cs="仿宋"/>
          <w:color w:val="auto"/>
          <w:highlight w:val="none"/>
          <w:lang w:val="en-US" w:eastAsia="zh-CN"/>
        </w:rPr>
        <w:t>5</w:t>
      </w:r>
      <w:r>
        <w:rPr>
          <w:rFonts w:hint="eastAsia" w:ascii="仿宋" w:hAnsi="仿宋" w:eastAsia="仿宋" w:cs="仿宋"/>
          <w:color w:val="auto"/>
          <w:highlight w:val="none"/>
        </w:rPr>
        <w:t>年</w:t>
      </w:r>
      <w:r>
        <w:rPr>
          <w:rFonts w:hint="eastAsia" w:ascii="仿宋" w:hAnsi="仿宋" w:eastAsia="仿宋" w:cs="仿宋"/>
          <w:color w:val="auto"/>
          <w:highlight w:val="none"/>
          <w:lang w:val="en-US" w:eastAsia="zh-CN"/>
        </w:rPr>
        <w:t>1</w:t>
      </w:r>
      <w:r>
        <w:rPr>
          <w:rFonts w:hint="eastAsia" w:ascii="仿宋" w:hAnsi="仿宋" w:eastAsia="仿宋" w:cs="仿宋"/>
          <w:color w:val="auto"/>
          <w:highlight w:val="none"/>
        </w:rPr>
        <w:t>月</w:t>
      </w:r>
      <w:r>
        <w:rPr>
          <w:rFonts w:hint="eastAsia" w:ascii="仿宋" w:hAnsi="仿宋" w:eastAsia="仿宋" w:cs="仿宋"/>
          <w:color w:val="auto"/>
          <w:highlight w:val="none"/>
          <w:lang w:val="en-US" w:eastAsia="zh-CN"/>
        </w:rPr>
        <w:t>21</w:t>
      </w:r>
      <w:r>
        <w:rPr>
          <w:rFonts w:hint="eastAsia" w:ascii="仿宋" w:hAnsi="仿宋" w:eastAsia="仿宋" w:cs="仿宋"/>
          <w:color w:val="auto"/>
          <w:highlight w:val="none"/>
        </w:rPr>
        <w:t>日</w:t>
      </w: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重庆经开区建管局、区改发局、财务局</w:t>
      </w:r>
      <w:r>
        <w:rPr>
          <w:rFonts w:hint="eastAsia" w:ascii="仿宋" w:hAnsi="仿宋" w:eastAsia="仿宋" w:cs="仿宋"/>
          <w:color w:val="auto"/>
          <w:highlight w:val="none"/>
          <w:lang w:eastAsia="zh-CN"/>
        </w:rPr>
        <w:t>在经开区管委会</w:t>
      </w:r>
      <w:r>
        <w:rPr>
          <w:rFonts w:hint="eastAsia" w:ascii="仿宋" w:hAnsi="仿宋" w:eastAsia="仿宋" w:cs="仿宋"/>
          <w:color w:val="auto"/>
          <w:highlight w:val="none"/>
          <w:lang w:val="en-US" w:eastAsia="zh-CN"/>
        </w:rPr>
        <w:t>1116会议室召开了本项目可研报告技术专家评审，原则同意通过评审，形成意见如下：</w:t>
      </w:r>
    </w:p>
    <w:p w14:paraId="64C80659">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（1）核实补充绿地率相关技术指标。</w:t>
      </w:r>
    </w:p>
    <w:p w14:paraId="4412B622">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执行情况：已在植物修复提升章节统计并补充完善。</w:t>
      </w:r>
    </w:p>
    <w:p w14:paraId="7BCC0816">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（2）后期进一步加强现场调查，根据破损程度制定相应的整治方案。</w:t>
      </w:r>
    </w:p>
    <w:p w14:paraId="52C70214">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执行情况：通过对现场的深度调查，根据车行道病害情况，兼顾考虑整体美观性、安全稳定性以及经济性之后，制定了三种修复方式。</w:t>
      </w:r>
    </w:p>
    <w:p w14:paraId="74DD4665">
      <w:pPr>
        <w:keepNext/>
        <w:keepLines/>
        <w:pageBreakBefore w:val="0"/>
        <w:widowControl w:val="0"/>
        <w:numPr>
          <w:ilvl w:val="0"/>
          <w:numId w:val="0"/>
        </w:numPr>
        <w:kinsoku/>
        <w:wordWrap/>
        <w:overflowPunct/>
        <w:topLinePunct w:val="0"/>
        <w:autoSpaceDE/>
        <w:autoSpaceDN/>
        <w:bidi w:val="0"/>
        <w:adjustRightInd/>
        <w:snapToGrid/>
        <w:spacing w:line="360" w:lineRule="auto"/>
        <w:ind w:leftChars="0"/>
        <w:jc w:val="left"/>
        <w:textAlignment w:val="auto"/>
        <w:outlineLvl w:val="1"/>
        <w:rPr>
          <w:rFonts w:hint="eastAsia" w:ascii="仿宋" w:hAnsi="仿宋" w:eastAsia="仿宋" w:cs="仿宋"/>
          <w:b/>
          <w:bCs/>
          <w:color w:val="auto"/>
          <w:sz w:val="28"/>
          <w:szCs w:val="28"/>
          <w:highlight w:val="none"/>
          <w:lang w:val="en-US" w:eastAsia="zh-CN"/>
        </w:rPr>
      </w:pPr>
      <w:bookmarkStart w:id="13" w:name="_Toc93997265"/>
      <w:bookmarkStart w:id="14" w:name="_Toc28078"/>
      <w:bookmarkStart w:id="15" w:name="_Toc93997358"/>
      <w:r>
        <w:rPr>
          <w:rFonts w:hint="eastAsia" w:ascii="仿宋" w:hAnsi="仿宋" w:eastAsia="仿宋" w:cs="仿宋"/>
          <w:b/>
          <w:bCs/>
          <w:color w:val="auto"/>
          <w:sz w:val="28"/>
          <w:szCs w:val="28"/>
          <w:highlight w:val="none"/>
          <w:lang w:val="en-US" w:eastAsia="zh-CN"/>
        </w:rPr>
        <w:t>1.5采用的主要设计标准、规范</w:t>
      </w:r>
      <w:bookmarkEnd w:id="13"/>
      <w:bookmarkEnd w:id="14"/>
      <w:bookmarkEnd w:id="15"/>
    </w:p>
    <w:p w14:paraId="1C9D26C5">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4"/>
          <w:szCs w:val="24"/>
          <w:highlight w:val="none"/>
          <w:lang w:eastAsia="zh-CN"/>
        </w:rPr>
      </w:pPr>
      <w:bookmarkStart w:id="16" w:name="_Toc518287992"/>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1</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国家标准</w:t>
      </w:r>
    </w:p>
    <w:p w14:paraId="44BC222F">
      <w:pPr>
        <w:rPr>
          <w:rFonts w:hint="eastAsia" w:ascii="仿宋" w:hAnsi="仿宋" w:eastAsia="仿宋" w:cs="仿宋"/>
          <w:color w:val="auto"/>
          <w:highlight w:val="none"/>
        </w:rPr>
      </w:pPr>
      <w:r>
        <w:rPr>
          <w:rFonts w:hint="eastAsia" w:ascii="仿宋" w:hAnsi="仿宋" w:eastAsia="仿宋" w:cs="仿宋"/>
          <w:color w:val="auto"/>
          <w:highlight w:val="none"/>
        </w:rPr>
        <w:t>《城市道路交通工程项目规范》（GB55011-2021）;</w:t>
      </w:r>
    </w:p>
    <w:p w14:paraId="70A37275">
      <w:pPr>
        <w:rPr>
          <w:rFonts w:hint="eastAsia" w:ascii="仿宋" w:hAnsi="仿宋" w:eastAsia="仿宋" w:cs="仿宋"/>
          <w:color w:val="auto"/>
          <w:highlight w:val="none"/>
        </w:rPr>
      </w:pPr>
      <w:r>
        <w:rPr>
          <w:rFonts w:hint="eastAsia" w:ascii="仿宋" w:hAnsi="仿宋" w:eastAsia="仿宋" w:cs="仿宋"/>
          <w:color w:val="auto"/>
          <w:highlight w:val="none"/>
        </w:rPr>
        <w:t>《建筑与市政工程无障碍通用规范》（GB55019-2021）;</w:t>
      </w:r>
    </w:p>
    <w:p w14:paraId="07080360">
      <w:pPr>
        <w:rPr>
          <w:rFonts w:hint="eastAsia" w:ascii="仿宋" w:hAnsi="仿宋" w:eastAsia="仿宋" w:cs="仿宋"/>
          <w:color w:val="auto"/>
          <w:highlight w:val="none"/>
        </w:rPr>
      </w:pPr>
      <w:r>
        <w:rPr>
          <w:rFonts w:hint="eastAsia" w:ascii="仿宋" w:hAnsi="仿宋" w:eastAsia="仿宋" w:cs="仿宋"/>
          <w:color w:val="auto"/>
          <w:highlight w:val="none"/>
        </w:rPr>
        <w:t>《建筑与市政工程抗震通用规范》（GB55002-2021）;</w:t>
      </w:r>
    </w:p>
    <w:p w14:paraId="322DA7A3">
      <w:pPr>
        <w:rPr>
          <w:rFonts w:hint="eastAsia" w:ascii="仿宋" w:hAnsi="仿宋" w:eastAsia="仿宋" w:cs="仿宋"/>
          <w:color w:val="auto"/>
          <w:highlight w:val="none"/>
        </w:rPr>
      </w:pPr>
      <w:r>
        <w:rPr>
          <w:rFonts w:hint="eastAsia" w:ascii="仿宋" w:hAnsi="仿宋" w:eastAsia="仿宋" w:cs="仿宋"/>
          <w:color w:val="auto"/>
          <w:highlight w:val="none"/>
        </w:rPr>
        <w:t>《道路工程制图标准》（GB50162-1992)；</w:t>
      </w:r>
    </w:p>
    <w:p w14:paraId="375270C3">
      <w:pPr>
        <w:rPr>
          <w:rFonts w:hint="eastAsia" w:ascii="仿宋" w:hAnsi="仿宋" w:eastAsia="仿宋" w:cs="仿宋"/>
          <w:color w:val="auto"/>
          <w:highlight w:val="none"/>
        </w:rPr>
      </w:pPr>
      <w:r>
        <w:rPr>
          <w:rFonts w:hint="eastAsia" w:ascii="仿宋" w:hAnsi="仿宋" w:eastAsia="仿宋" w:cs="仿宋"/>
          <w:color w:val="auto"/>
          <w:highlight w:val="none"/>
        </w:rPr>
        <w:t>《城市综合交通体系规划标准》（GB/T51328-2018）；</w:t>
      </w:r>
    </w:p>
    <w:p w14:paraId="6605D897">
      <w:pPr>
        <w:rPr>
          <w:rFonts w:hint="eastAsia" w:ascii="仿宋" w:hAnsi="仿宋" w:eastAsia="仿宋" w:cs="仿宋"/>
          <w:color w:val="auto"/>
          <w:highlight w:val="none"/>
        </w:rPr>
      </w:pPr>
      <w:r>
        <w:rPr>
          <w:rFonts w:hint="eastAsia" w:ascii="仿宋" w:hAnsi="仿宋" w:eastAsia="仿宋" w:cs="仿宋"/>
          <w:color w:val="auto"/>
          <w:highlight w:val="none"/>
        </w:rPr>
        <w:t>《城市道路交通设施设计规范》（GB50688-2011）(2019年版）；</w:t>
      </w:r>
    </w:p>
    <w:p w14:paraId="2BD1EFCC">
      <w:pPr>
        <w:rPr>
          <w:rFonts w:hint="eastAsia" w:ascii="仿宋" w:hAnsi="仿宋" w:eastAsia="仿宋" w:cs="仿宋"/>
          <w:color w:val="auto"/>
          <w:highlight w:val="none"/>
        </w:rPr>
      </w:pPr>
      <w:r>
        <w:rPr>
          <w:rFonts w:hint="eastAsia" w:ascii="仿宋" w:hAnsi="仿宋" w:eastAsia="仿宋" w:cs="仿宋"/>
          <w:color w:val="auto"/>
          <w:highlight w:val="none"/>
        </w:rPr>
        <w:t>《城市道路交通标志和标线设置规范》（GB51038-2015）；</w:t>
      </w:r>
    </w:p>
    <w:p w14:paraId="3FD7D12F">
      <w:pPr>
        <w:rPr>
          <w:rFonts w:hint="eastAsia" w:ascii="仿宋" w:hAnsi="仿宋" w:eastAsia="仿宋" w:cs="仿宋"/>
          <w:color w:val="auto"/>
          <w:sz w:val="28"/>
          <w:szCs w:val="28"/>
          <w:highlight w:val="none"/>
        </w:rPr>
      </w:pPr>
      <w:r>
        <w:rPr>
          <w:rFonts w:hint="eastAsia" w:ascii="仿宋" w:hAnsi="仿宋" w:eastAsia="仿宋" w:cs="仿宋"/>
          <w:color w:val="auto"/>
          <w:highlight w:val="none"/>
        </w:rPr>
        <w:t>《道路交通标志和标线》（GB5768-2009)；</w:t>
      </w:r>
    </w:p>
    <w:p w14:paraId="5EA88C8A">
      <w:pPr>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《道路交通标志板及支撑件》（GB/T23827-2009）；</w:t>
      </w:r>
    </w:p>
    <w:p w14:paraId="50353DAA">
      <w:pPr>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《道路交通标线质量要求和检测方法》（GB/T16311-2009）；</w:t>
      </w:r>
    </w:p>
    <w:p w14:paraId="167785B2">
      <w:pPr>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《中国地震动参数区划图》（GB18306-2015）；</w:t>
      </w:r>
    </w:p>
    <w:p w14:paraId="178842EA">
      <w:pPr>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（2）建设部标准</w:t>
      </w:r>
    </w:p>
    <w:p w14:paraId="12BD8961">
      <w:pPr>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《城市道路工程设计规范》（CJJ37-2012）(2016年版）；</w:t>
      </w:r>
    </w:p>
    <w:p w14:paraId="51A9334B">
      <w:pPr>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《城市道路路线设计规范》（CJJ193-2012）；</w:t>
      </w:r>
    </w:p>
    <w:p w14:paraId="062943F4">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《城市道路路基设计规范》（CJJ194-2013）；</w:t>
      </w:r>
    </w:p>
    <w:p w14:paraId="6DB66F49">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《城镇道路路面设计规范》（CJJ169-2012）；</w:t>
      </w:r>
    </w:p>
    <w:p w14:paraId="5019EBF5">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《城市道路交叉口设计规程》（CJJ152-2010）；</w:t>
      </w:r>
    </w:p>
    <w:p w14:paraId="12281946">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《城镇道路工程施工与质量验收规范》（CJJ1-2008）；</w:t>
      </w:r>
    </w:p>
    <w:p w14:paraId="7F6CC23C">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rPr>
        <w:t>城镇道路养护技术规范</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rPr>
        <w:t>CJJ36-2016</w:t>
      </w:r>
      <w:r>
        <w:rPr>
          <w:rFonts w:hint="eastAsia" w:ascii="仿宋" w:hAnsi="仿宋" w:eastAsia="仿宋" w:cs="仿宋"/>
          <w:color w:val="auto"/>
          <w:sz w:val="24"/>
          <w:szCs w:val="24"/>
          <w:highlight w:val="none"/>
          <w:lang w:eastAsia="zh-CN"/>
        </w:rPr>
        <w:t>）；</w:t>
      </w:r>
    </w:p>
    <w:p w14:paraId="1F731229">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（3）地方标准</w:t>
      </w:r>
    </w:p>
    <w:p w14:paraId="2146A456">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《城市道路交通规划及路线设计规范》（DBJ-064-20</w:t>
      </w:r>
      <w:r>
        <w:rPr>
          <w:rFonts w:hint="eastAsia" w:ascii="仿宋" w:hAnsi="仿宋" w:eastAsia="仿宋" w:cs="仿宋"/>
          <w:color w:val="auto"/>
          <w:sz w:val="24"/>
          <w:szCs w:val="24"/>
          <w:highlight w:val="none"/>
          <w:lang w:val="en-US" w:eastAsia="zh-CN"/>
        </w:rPr>
        <w:t>22</w:t>
      </w:r>
      <w:r>
        <w:rPr>
          <w:rFonts w:hint="eastAsia" w:ascii="仿宋" w:hAnsi="仿宋" w:eastAsia="仿宋" w:cs="仿宋"/>
          <w:color w:val="auto"/>
          <w:sz w:val="24"/>
          <w:szCs w:val="24"/>
          <w:highlight w:val="none"/>
        </w:rPr>
        <w:t>）；</w:t>
      </w:r>
    </w:p>
    <w:p w14:paraId="4C40B800">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《城市道路工程施工质量验收规范》</w:t>
      </w:r>
      <w:r>
        <w:rPr>
          <w:rFonts w:hint="eastAsia" w:ascii="仿宋" w:hAnsi="仿宋" w:eastAsia="仿宋" w:cs="仿宋"/>
          <w:color w:val="auto"/>
          <w:highlight w:val="none"/>
        </w:rPr>
        <w:t>（</w:t>
      </w:r>
      <w:r>
        <w:rPr>
          <w:rFonts w:hint="eastAsia" w:ascii="仿宋" w:hAnsi="仿宋" w:eastAsia="仿宋" w:cs="仿宋"/>
          <w:color w:val="auto"/>
          <w:sz w:val="24"/>
          <w:szCs w:val="24"/>
          <w:highlight w:val="none"/>
        </w:rPr>
        <w:t>DBJ50-078-20</w:t>
      </w:r>
      <w:r>
        <w:rPr>
          <w:rFonts w:hint="eastAsia" w:ascii="仿宋" w:hAnsi="仿宋" w:eastAsia="仿宋" w:cs="仿宋"/>
          <w:color w:val="auto"/>
          <w:sz w:val="24"/>
          <w:szCs w:val="24"/>
          <w:highlight w:val="none"/>
          <w:lang w:val="en-US" w:eastAsia="zh-CN"/>
        </w:rPr>
        <w:t>16</w:t>
      </w:r>
      <w:r>
        <w:rPr>
          <w:rFonts w:hint="eastAsia" w:ascii="仿宋" w:hAnsi="仿宋" w:eastAsia="仿宋" w:cs="仿宋"/>
          <w:color w:val="auto"/>
          <w:sz w:val="24"/>
          <w:szCs w:val="24"/>
          <w:highlight w:val="none"/>
        </w:rPr>
        <w:t>）；</w:t>
      </w:r>
    </w:p>
    <w:p w14:paraId="1C798D97">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《城镇道路附属设施工程施工质量验收规范》</w:t>
      </w:r>
      <w:r>
        <w:rPr>
          <w:rFonts w:hint="eastAsia" w:ascii="仿宋" w:hAnsi="仿宋" w:eastAsia="仿宋" w:cs="仿宋"/>
          <w:color w:val="auto"/>
          <w:highlight w:val="none"/>
        </w:rPr>
        <w:t>（</w:t>
      </w:r>
      <w:r>
        <w:rPr>
          <w:rFonts w:hint="eastAsia" w:ascii="仿宋" w:hAnsi="仿宋" w:eastAsia="仿宋" w:cs="仿宋"/>
          <w:color w:val="auto"/>
          <w:sz w:val="24"/>
          <w:szCs w:val="24"/>
          <w:highlight w:val="none"/>
        </w:rPr>
        <w:t>DBJ50-128-2011）；</w:t>
      </w:r>
    </w:p>
    <w:p w14:paraId="543C58A6">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《城镇道路路基设计规范》</w:t>
      </w:r>
      <w:r>
        <w:rPr>
          <w:rFonts w:hint="eastAsia" w:ascii="仿宋" w:hAnsi="仿宋" w:eastAsia="仿宋" w:cs="仿宋"/>
          <w:color w:val="auto"/>
          <w:highlight w:val="none"/>
        </w:rPr>
        <w:t>（</w:t>
      </w:r>
      <w:r>
        <w:rPr>
          <w:rFonts w:hint="eastAsia" w:ascii="仿宋" w:hAnsi="仿宋" w:eastAsia="仿宋" w:cs="仿宋"/>
          <w:color w:val="auto"/>
          <w:sz w:val="24"/>
          <w:szCs w:val="24"/>
          <w:highlight w:val="none"/>
        </w:rPr>
        <w:t>DBJ50-145-2012）；</w:t>
      </w:r>
    </w:p>
    <w:p w14:paraId="5A2E587C">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rPr>
        <w:t>《重庆市城镇道路平面交叉口设计规范》</w:t>
      </w:r>
      <w:r>
        <w:rPr>
          <w:rFonts w:hint="eastAsia" w:ascii="仿宋" w:hAnsi="仿宋" w:eastAsia="仿宋" w:cs="仿宋"/>
          <w:color w:val="auto"/>
          <w:highlight w:val="none"/>
        </w:rPr>
        <w:t>（</w:t>
      </w:r>
      <w:r>
        <w:rPr>
          <w:rFonts w:hint="eastAsia" w:ascii="仿宋" w:hAnsi="仿宋" w:eastAsia="仿宋" w:cs="仿宋"/>
          <w:color w:val="auto"/>
          <w:sz w:val="24"/>
          <w:szCs w:val="24"/>
          <w:highlight w:val="none"/>
        </w:rPr>
        <w:t>DBJ50/T-178-2014）</w:t>
      </w:r>
      <w:r>
        <w:rPr>
          <w:rFonts w:hint="eastAsia" w:ascii="仿宋" w:hAnsi="仿宋" w:eastAsia="仿宋" w:cs="仿宋"/>
          <w:color w:val="auto"/>
          <w:sz w:val="24"/>
          <w:szCs w:val="24"/>
          <w:highlight w:val="none"/>
          <w:lang w:eastAsia="zh-CN"/>
        </w:rPr>
        <w:t>。</w:t>
      </w:r>
    </w:p>
    <w:p w14:paraId="1C389A18">
      <w:pPr>
        <w:keepNext/>
        <w:keepLines/>
        <w:pageBreakBefore w:val="0"/>
        <w:widowControl w:val="0"/>
        <w:numPr>
          <w:ilvl w:val="0"/>
          <w:numId w:val="0"/>
        </w:numPr>
        <w:kinsoku/>
        <w:wordWrap/>
        <w:overflowPunct/>
        <w:topLinePunct w:val="0"/>
        <w:autoSpaceDE/>
        <w:autoSpaceDN/>
        <w:bidi w:val="0"/>
        <w:adjustRightInd/>
        <w:snapToGrid/>
        <w:spacing w:line="360" w:lineRule="auto"/>
        <w:ind w:leftChars="0"/>
        <w:jc w:val="left"/>
        <w:textAlignment w:val="auto"/>
        <w:outlineLvl w:val="1"/>
        <w:rPr>
          <w:rFonts w:hint="eastAsia" w:ascii="仿宋" w:hAnsi="仿宋" w:eastAsia="仿宋" w:cs="仿宋"/>
          <w:b/>
          <w:bCs/>
          <w:color w:val="auto"/>
          <w:sz w:val="28"/>
          <w:szCs w:val="28"/>
          <w:highlight w:val="none"/>
          <w:lang w:val="en-US" w:eastAsia="zh-CN"/>
        </w:rPr>
      </w:pPr>
      <w:bookmarkStart w:id="17" w:name="_Toc93997359"/>
      <w:bookmarkStart w:id="18" w:name="_Toc93997266"/>
      <w:bookmarkStart w:id="19" w:name="_Toc22519"/>
      <w:r>
        <w:rPr>
          <w:rFonts w:hint="eastAsia" w:ascii="仿宋" w:hAnsi="仿宋" w:eastAsia="仿宋" w:cs="仿宋"/>
          <w:b/>
          <w:bCs/>
          <w:color w:val="auto"/>
          <w:sz w:val="28"/>
          <w:szCs w:val="28"/>
          <w:highlight w:val="none"/>
          <w:lang w:val="en-US" w:eastAsia="zh-CN"/>
        </w:rPr>
        <w:t>1.6对规范强制性条文执行情况</w:t>
      </w:r>
      <w:bookmarkEnd w:id="16"/>
      <w:bookmarkEnd w:id="17"/>
      <w:bookmarkEnd w:id="18"/>
      <w:bookmarkEnd w:id="19"/>
    </w:p>
    <w:p w14:paraId="09EB9828">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本项目无违反行业现行规范强制性条文的情况。</w:t>
      </w:r>
      <w:bookmarkStart w:id="20" w:name="_Toc518287993"/>
    </w:p>
    <w:p w14:paraId="07CDD9AD">
      <w:pPr>
        <w:keepNext/>
        <w:keepLines/>
        <w:pageBreakBefore w:val="0"/>
        <w:widowControl w:val="0"/>
        <w:numPr>
          <w:ilvl w:val="0"/>
          <w:numId w:val="0"/>
        </w:numPr>
        <w:kinsoku/>
        <w:wordWrap/>
        <w:overflowPunct/>
        <w:topLinePunct w:val="0"/>
        <w:autoSpaceDE/>
        <w:autoSpaceDN/>
        <w:bidi w:val="0"/>
        <w:adjustRightInd/>
        <w:snapToGrid/>
        <w:spacing w:line="360" w:lineRule="auto"/>
        <w:ind w:leftChars="0"/>
        <w:jc w:val="left"/>
        <w:textAlignment w:val="auto"/>
        <w:outlineLvl w:val="1"/>
        <w:rPr>
          <w:rFonts w:hint="eastAsia" w:ascii="仿宋" w:hAnsi="仿宋" w:eastAsia="仿宋" w:cs="仿宋"/>
          <w:b/>
          <w:bCs/>
          <w:color w:val="auto"/>
          <w:sz w:val="28"/>
          <w:szCs w:val="28"/>
          <w:highlight w:val="none"/>
          <w:lang w:val="en-US" w:eastAsia="zh-CN"/>
        </w:rPr>
      </w:pPr>
      <w:bookmarkStart w:id="21" w:name="_Toc93997360"/>
      <w:bookmarkStart w:id="22" w:name="_Toc19938"/>
      <w:bookmarkStart w:id="23" w:name="_Toc93997267"/>
      <w:r>
        <w:rPr>
          <w:rFonts w:hint="eastAsia" w:ascii="仿宋" w:hAnsi="仿宋" w:eastAsia="仿宋" w:cs="仿宋"/>
          <w:b/>
          <w:bCs/>
          <w:color w:val="auto"/>
          <w:sz w:val="28"/>
          <w:szCs w:val="28"/>
          <w:highlight w:val="none"/>
          <w:lang w:val="en-US" w:eastAsia="zh-CN"/>
        </w:rPr>
        <w:t>1.7需要说明的其它事项</w:t>
      </w:r>
      <w:bookmarkEnd w:id="20"/>
      <w:bookmarkEnd w:id="21"/>
      <w:bookmarkEnd w:id="22"/>
      <w:bookmarkEnd w:id="23"/>
    </w:p>
    <w:p w14:paraId="6F85AFA4">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（1）本次</w:t>
      </w:r>
      <w:r>
        <w:rPr>
          <w:rFonts w:hint="eastAsia" w:ascii="仿宋" w:hAnsi="仿宋" w:eastAsia="仿宋" w:cs="仿宋"/>
          <w:color w:val="auto"/>
          <w:sz w:val="24"/>
          <w:szCs w:val="24"/>
          <w:highlight w:val="none"/>
          <w:lang w:eastAsia="zh-CN"/>
        </w:rPr>
        <w:t>道路提升</w:t>
      </w:r>
      <w:r>
        <w:rPr>
          <w:rFonts w:hint="eastAsia" w:ascii="仿宋" w:hAnsi="仿宋" w:eastAsia="仿宋" w:cs="仿宋"/>
          <w:color w:val="auto"/>
          <w:sz w:val="24"/>
          <w:szCs w:val="24"/>
          <w:highlight w:val="none"/>
        </w:rPr>
        <w:t>改造工程对既有道路平、纵面线形均不进行调整，施工时以现状为基准并做好横坡与路口顺接。</w:t>
      </w:r>
    </w:p>
    <w:p w14:paraId="248FF8EC">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w:t>
      </w:r>
      <w:r>
        <w:rPr>
          <w:rFonts w:hint="eastAsia" w:ascii="仿宋" w:hAnsi="仿宋" w:eastAsia="仿宋" w:cs="仿宋"/>
          <w:color w:val="auto"/>
          <w:sz w:val="24"/>
          <w:szCs w:val="24"/>
          <w:highlight w:val="none"/>
          <w:lang w:eastAsia="zh-CN"/>
        </w:rPr>
        <w:t>本项目于</w:t>
      </w:r>
      <w:r>
        <w:rPr>
          <w:rFonts w:hint="eastAsia" w:ascii="仿宋" w:hAnsi="仿宋" w:eastAsia="仿宋" w:cs="仿宋"/>
          <w:color w:val="auto"/>
          <w:sz w:val="24"/>
          <w:szCs w:val="24"/>
          <w:highlight w:val="none"/>
          <w:lang w:val="en-US" w:eastAsia="zh-CN"/>
        </w:rPr>
        <w:t>2025年3月进行</w:t>
      </w:r>
      <w:r>
        <w:rPr>
          <w:rFonts w:hint="eastAsia" w:ascii="仿宋" w:hAnsi="仿宋" w:eastAsia="仿宋" w:cs="仿宋"/>
          <w:color w:val="auto"/>
          <w:sz w:val="24"/>
          <w:szCs w:val="24"/>
          <w:highlight w:val="none"/>
          <w:lang w:eastAsia="zh-CN"/>
        </w:rPr>
        <w:t>现场病害调查，可能调查资料</w:t>
      </w:r>
      <w:r>
        <w:rPr>
          <w:rFonts w:hint="eastAsia" w:ascii="仿宋" w:hAnsi="仿宋" w:eastAsia="仿宋" w:cs="仿宋"/>
          <w:color w:val="auto"/>
          <w:sz w:val="24"/>
          <w:szCs w:val="24"/>
          <w:highlight w:val="none"/>
        </w:rPr>
        <w:t>与实际施工存在一定的时间间隔，</w:t>
      </w:r>
      <w:r>
        <w:rPr>
          <w:rFonts w:hint="eastAsia" w:ascii="仿宋" w:hAnsi="仿宋" w:eastAsia="仿宋" w:cs="仿宋"/>
          <w:color w:val="auto"/>
          <w:highlight w:val="none"/>
        </w:rPr>
        <w:t>鉴于养护工程项目中路面病害具有实时发展的特点，为保证病害处治到位，基于本项目“动态设计”的原则，在路面病害处治实施前，由监理方组织，业主方、监理方、设计方、施工方共同对路面病害范围进行现场核查并确定病害处治的具体实施范围</w:t>
      </w:r>
      <w:r>
        <w:rPr>
          <w:rFonts w:hint="eastAsia" w:ascii="仿宋" w:hAnsi="仿宋" w:eastAsia="仿宋" w:cs="仿宋"/>
          <w:color w:val="auto"/>
          <w:highlight w:val="none"/>
          <w:lang w:eastAsia="zh-CN"/>
        </w:rPr>
        <w:t>，</w:t>
      </w:r>
      <w:r>
        <w:rPr>
          <w:rFonts w:hint="eastAsia" w:ascii="仿宋" w:hAnsi="仿宋" w:eastAsia="仿宋" w:cs="仿宋"/>
          <w:color w:val="auto"/>
          <w:sz w:val="24"/>
          <w:szCs w:val="24"/>
          <w:highlight w:val="none"/>
        </w:rPr>
        <w:t>并按实计量。</w:t>
      </w:r>
    </w:p>
    <w:p w14:paraId="1AB6A52A">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（3）本次道路提升改造只对车行道Ⅱ、Ⅲ类进行修复，其他修复内容纳入后期实施。</w:t>
      </w:r>
    </w:p>
    <w:p w14:paraId="19AA6C84">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4</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Ⅰ类修复区域(开拓路交叉口)由轨道工程施工完成后进行路面恢复。</w:t>
      </w:r>
    </w:p>
    <w:p w14:paraId="7F1B0B24">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5</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rPr>
        <w:t>本次设计阶段为施工图设计，施工图设计文件由施工图说明书、图纸组成。</w:t>
      </w:r>
    </w:p>
    <w:p w14:paraId="437ED971">
      <w:pPr>
        <w:keepNext/>
        <w:keepLines/>
        <w:pageBreakBefore w:val="0"/>
        <w:widowControl w:val="0"/>
        <w:numPr>
          <w:ilvl w:val="0"/>
          <w:numId w:val="12"/>
        </w:numPr>
        <w:kinsoku/>
        <w:wordWrap/>
        <w:overflowPunct/>
        <w:topLinePunct w:val="0"/>
        <w:autoSpaceDE/>
        <w:autoSpaceDN/>
        <w:bidi w:val="0"/>
        <w:adjustRightInd/>
        <w:snapToGrid/>
        <w:ind w:left="0" w:leftChars="0" w:firstLine="0" w:firstLineChars="0"/>
        <w:jc w:val="left"/>
        <w:textAlignment w:val="auto"/>
        <w:outlineLvl w:val="0"/>
        <w:rPr>
          <w:rFonts w:hint="eastAsia" w:ascii="仿宋" w:hAnsi="仿宋" w:eastAsia="仿宋" w:cs="仿宋"/>
          <w:b/>
          <w:bCs/>
          <w:color w:val="auto"/>
          <w:sz w:val="28"/>
          <w:szCs w:val="28"/>
          <w:highlight w:val="none"/>
          <w:lang w:val="en-US" w:eastAsia="zh-CN"/>
        </w:rPr>
      </w:pPr>
      <w:bookmarkStart w:id="24" w:name="_Toc93997268"/>
      <w:bookmarkStart w:id="25" w:name="_Toc20733"/>
      <w:bookmarkStart w:id="26" w:name="_Toc330747010"/>
      <w:bookmarkStart w:id="27" w:name="_Toc93997361"/>
      <w:bookmarkStart w:id="28" w:name="_Toc401935791"/>
      <w:r>
        <w:rPr>
          <w:rFonts w:hint="eastAsia" w:ascii="仿宋" w:hAnsi="仿宋" w:eastAsia="仿宋" w:cs="仿宋"/>
          <w:b/>
          <w:bCs/>
          <w:color w:val="auto"/>
          <w:sz w:val="28"/>
          <w:szCs w:val="28"/>
          <w:highlight w:val="none"/>
          <w:lang w:val="en-US" w:eastAsia="zh-CN"/>
        </w:rPr>
        <w:t>建设条件</w:t>
      </w:r>
      <w:bookmarkEnd w:id="24"/>
      <w:bookmarkEnd w:id="25"/>
      <w:bookmarkEnd w:id="26"/>
      <w:bookmarkEnd w:id="27"/>
      <w:bookmarkEnd w:id="28"/>
      <w:bookmarkStart w:id="29" w:name="_Toc274594295"/>
      <w:bookmarkStart w:id="30" w:name="_Toc274593865"/>
      <w:bookmarkStart w:id="31" w:name="_Toc267848817"/>
      <w:bookmarkStart w:id="32" w:name="_Toc274593501"/>
      <w:bookmarkStart w:id="33" w:name="_Toc401935792"/>
      <w:bookmarkStart w:id="34" w:name="_Toc330747011"/>
    </w:p>
    <w:bookmarkEnd w:id="29"/>
    <w:bookmarkEnd w:id="30"/>
    <w:bookmarkEnd w:id="31"/>
    <w:bookmarkEnd w:id="32"/>
    <w:bookmarkEnd w:id="33"/>
    <w:bookmarkEnd w:id="34"/>
    <w:p w14:paraId="41A15F20">
      <w:pPr>
        <w:keepNext/>
        <w:keepLines/>
        <w:pageBreakBefore w:val="0"/>
        <w:widowControl w:val="0"/>
        <w:numPr>
          <w:ilvl w:val="1"/>
          <w:numId w:val="12"/>
        </w:numPr>
        <w:kinsoku/>
        <w:wordWrap/>
        <w:overflowPunct/>
        <w:topLinePunct w:val="0"/>
        <w:autoSpaceDE/>
        <w:autoSpaceDN/>
        <w:bidi w:val="0"/>
        <w:adjustRightInd/>
        <w:snapToGrid/>
        <w:spacing w:line="360" w:lineRule="auto"/>
        <w:ind w:firstLineChars="0"/>
        <w:jc w:val="left"/>
        <w:textAlignment w:val="auto"/>
        <w:outlineLvl w:val="1"/>
        <w:rPr>
          <w:rFonts w:hint="eastAsia" w:ascii="仿宋" w:hAnsi="仿宋" w:eastAsia="仿宋" w:cs="仿宋"/>
          <w:b/>
          <w:bCs/>
          <w:color w:val="auto"/>
          <w:sz w:val="28"/>
          <w:szCs w:val="28"/>
          <w:highlight w:val="none"/>
          <w:lang w:val="en-US" w:eastAsia="zh-CN"/>
        </w:rPr>
      </w:pPr>
      <w:bookmarkStart w:id="35" w:name="_Toc20362"/>
      <w:bookmarkStart w:id="36" w:name="_Toc17840_WPSOffice_Level2"/>
      <w:bookmarkStart w:id="37" w:name="_Toc12357995"/>
      <w:bookmarkStart w:id="38" w:name="_Toc93997278"/>
      <w:bookmarkStart w:id="39" w:name="_Toc93997366"/>
      <w:r>
        <w:rPr>
          <w:rFonts w:hint="eastAsia" w:ascii="仿宋" w:hAnsi="仿宋" w:eastAsia="仿宋" w:cs="仿宋"/>
          <w:b/>
          <w:bCs/>
          <w:color w:val="auto"/>
          <w:sz w:val="28"/>
          <w:szCs w:val="28"/>
          <w:highlight w:val="none"/>
          <w:lang w:val="en-US" w:eastAsia="zh-CN"/>
        </w:rPr>
        <w:t>项目</w:t>
      </w:r>
      <w:bookmarkEnd w:id="35"/>
      <w:r>
        <w:rPr>
          <w:rFonts w:hint="eastAsia" w:ascii="仿宋" w:hAnsi="仿宋" w:eastAsia="仿宋" w:cs="仿宋"/>
          <w:b/>
          <w:bCs/>
          <w:color w:val="auto"/>
          <w:sz w:val="28"/>
          <w:szCs w:val="28"/>
          <w:highlight w:val="none"/>
          <w:lang w:val="en-US" w:eastAsia="zh-CN"/>
        </w:rPr>
        <w:t>位置</w:t>
      </w:r>
    </w:p>
    <w:p w14:paraId="15588E7F">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szCs w:val="28"/>
          <w:highlight w:val="none"/>
          <w:lang w:eastAsia="zh-CN"/>
        </w:rPr>
        <w:t>本项目位于重庆经开区广茂大道，南起茶惠大道（玉马路），北止于兴塘路，实施范围路线长约</w:t>
      </w:r>
      <w:r>
        <w:rPr>
          <w:rFonts w:hint="eastAsia" w:ascii="仿宋" w:hAnsi="仿宋" w:eastAsia="仿宋" w:cs="仿宋"/>
          <w:color w:val="auto"/>
          <w:szCs w:val="28"/>
          <w:highlight w:val="none"/>
          <w:lang w:val="en-US" w:eastAsia="zh-CN"/>
        </w:rPr>
        <w:t>1.5km</w:t>
      </w:r>
      <w:r>
        <w:rPr>
          <w:rFonts w:hint="eastAsia" w:ascii="仿宋" w:hAnsi="仿宋" w:eastAsia="仿宋" w:cs="仿宋"/>
          <w:color w:val="auto"/>
          <w:szCs w:val="28"/>
          <w:highlight w:val="none"/>
        </w:rPr>
        <w:t>。</w:t>
      </w:r>
    </w:p>
    <w:bookmarkEnd w:id="36"/>
    <w:bookmarkEnd w:id="37"/>
    <w:p w14:paraId="7A7C9A48">
      <w:pPr>
        <w:keepNext/>
        <w:keepLines/>
        <w:pageBreakBefore w:val="0"/>
        <w:widowControl w:val="0"/>
        <w:numPr>
          <w:ilvl w:val="1"/>
          <w:numId w:val="12"/>
        </w:numPr>
        <w:kinsoku/>
        <w:wordWrap/>
        <w:overflowPunct/>
        <w:topLinePunct w:val="0"/>
        <w:autoSpaceDE/>
        <w:autoSpaceDN/>
        <w:bidi w:val="0"/>
        <w:adjustRightInd/>
        <w:snapToGrid/>
        <w:spacing w:line="360" w:lineRule="auto"/>
        <w:ind w:firstLineChars="0"/>
        <w:jc w:val="left"/>
        <w:textAlignment w:val="auto"/>
        <w:outlineLvl w:val="1"/>
        <w:rPr>
          <w:rFonts w:hint="eastAsia" w:ascii="仿宋" w:hAnsi="仿宋" w:eastAsia="仿宋" w:cs="仿宋"/>
          <w:b/>
          <w:bCs/>
          <w:color w:val="auto"/>
          <w:sz w:val="28"/>
          <w:szCs w:val="28"/>
          <w:highlight w:val="none"/>
          <w:lang w:val="en-US" w:eastAsia="zh-CN"/>
        </w:rPr>
      </w:pPr>
      <w:bookmarkStart w:id="40" w:name="_Toc22775"/>
      <w:r>
        <w:rPr>
          <w:rFonts w:hint="eastAsia" w:ascii="仿宋" w:hAnsi="仿宋" w:eastAsia="仿宋" w:cs="仿宋"/>
          <w:b/>
          <w:bCs/>
          <w:color w:val="auto"/>
          <w:sz w:val="28"/>
          <w:szCs w:val="28"/>
          <w:highlight w:val="none"/>
          <w:lang w:val="en-US" w:eastAsia="zh-CN"/>
        </w:rPr>
        <w:t>气象与水文条件</w:t>
      </w:r>
      <w:bookmarkEnd w:id="40"/>
    </w:p>
    <w:p w14:paraId="08CDDAF3">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南岸区地处亚热带季风区，热量丰富，雨量充沛，无霜期长，冰雪少，风小日照少，湿度大，云雾多，春早夏长，秋短冬暖，四季分明，多年年平均气温18.5C°，无霜期347天，降雨量1097.8毫m，雾日67.8天。</w:t>
      </w:r>
    </w:p>
    <w:p w14:paraId="33DD8337">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lang w:eastAsia="zh-CN"/>
        </w:rPr>
      </w:pPr>
      <w:r>
        <w:rPr>
          <w:rFonts w:hint="eastAsia" w:ascii="仿宋" w:hAnsi="仿宋" w:eastAsia="仿宋" w:cs="仿宋"/>
          <w:color w:val="auto"/>
          <w:highlight w:val="none"/>
        </w:rPr>
        <w:t>受冬季风和夏季风的影响，最多风向为东北风，次为西北风，四季平均风速约在每秒2m左右。</w:t>
      </w:r>
      <w:r>
        <w:rPr>
          <w:rFonts w:hint="eastAsia" w:ascii="仿宋" w:hAnsi="仿宋" w:eastAsia="仿宋" w:cs="仿宋"/>
          <w:color w:val="auto"/>
          <w:highlight w:val="none"/>
          <w:lang w:eastAsia="zh-CN"/>
        </w:rPr>
        <w:t>项目周边主要</w:t>
      </w:r>
      <w:r>
        <w:rPr>
          <w:rFonts w:hint="eastAsia" w:ascii="仿宋" w:hAnsi="仿宋" w:eastAsia="仿宋" w:cs="仿宋"/>
          <w:color w:val="auto"/>
          <w:highlight w:val="none"/>
        </w:rPr>
        <w:t>水系</w:t>
      </w:r>
      <w:r>
        <w:rPr>
          <w:rFonts w:hint="eastAsia" w:ascii="仿宋" w:hAnsi="仿宋" w:eastAsia="仿宋" w:cs="仿宋"/>
          <w:color w:val="auto"/>
          <w:highlight w:val="none"/>
          <w:lang w:eastAsia="zh-CN"/>
        </w:rPr>
        <w:t>为季节性冲沟，水量及流速受降雨影响大，暴雨季节河水无倒灌现象。</w:t>
      </w:r>
    </w:p>
    <w:p w14:paraId="6D4D0341">
      <w:pPr>
        <w:keepNext/>
        <w:keepLines/>
        <w:pageBreakBefore w:val="0"/>
        <w:widowControl w:val="0"/>
        <w:numPr>
          <w:ilvl w:val="1"/>
          <w:numId w:val="12"/>
        </w:numPr>
        <w:kinsoku/>
        <w:wordWrap/>
        <w:overflowPunct/>
        <w:topLinePunct w:val="0"/>
        <w:autoSpaceDE/>
        <w:autoSpaceDN/>
        <w:bidi w:val="0"/>
        <w:adjustRightInd/>
        <w:snapToGrid/>
        <w:spacing w:line="360" w:lineRule="auto"/>
        <w:ind w:firstLineChars="0"/>
        <w:textAlignment w:val="auto"/>
        <w:outlineLvl w:val="1"/>
        <w:rPr>
          <w:rFonts w:hint="eastAsia" w:ascii="仿宋" w:hAnsi="仿宋" w:eastAsia="仿宋" w:cs="仿宋"/>
          <w:b/>
          <w:bCs/>
          <w:color w:val="auto"/>
          <w:sz w:val="28"/>
          <w:szCs w:val="28"/>
          <w:highlight w:val="none"/>
          <w:lang w:val="en-US" w:eastAsia="zh-CN"/>
        </w:rPr>
      </w:pPr>
      <w:bookmarkStart w:id="41" w:name="_Toc5994"/>
      <w:r>
        <w:rPr>
          <w:rFonts w:hint="eastAsia" w:ascii="仿宋" w:hAnsi="仿宋" w:eastAsia="仿宋" w:cs="仿宋"/>
          <w:b/>
          <w:bCs/>
          <w:color w:val="auto"/>
          <w:sz w:val="28"/>
          <w:szCs w:val="28"/>
          <w:highlight w:val="none"/>
          <w:lang w:val="en-US" w:eastAsia="zh-CN"/>
        </w:rPr>
        <w:t>地形地貌</w:t>
      </w:r>
      <w:bookmarkEnd w:id="41"/>
    </w:p>
    <w:p w14:paraId="7052876E">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highlight w:val="none"/>
        </w:rPr>
      </w:pPr>
      <w:r>
        <w:rPr>
          <w:rFonts w:hint="eastAsia" w:ascii="仿宋" w:hAnsi="仿宋" w:eastAsia="仿宋" w:cs="仿宋"/>
          <w:color w:val="auto"/>
          <w:highlight w:val="none"/>
        </w:rPr>
        <w:t>该段原始地貌属构造剥蚀浅丘地貌区，现状经修建厂房、</w:t>
      </w:r>
      <w:r>
        <w:rPr>
          <w:rFonts w:hint="eastAsia" w:ascii="仿宋" w:hAnsi="仿宋" w:eastAsia="仿宋" w:cs="仿宋"/>
          <w:color w:val="auto"/>
          <w:highlight w:val="none"/>
          <w:lang w:eastAsia="zh-CN"/>
        </w:rPr>
        <w:t>民用建筑</w:t>
      </w:r>
      <w:r>
        <w:rPr>
          <w:rFonts w:hint="eastAsia" w:ascii="仿宋" w:hAnsi="仿宋" w:eastAsia="仿宋" w:cs="仿宋"/>
          <w:color w:val="auto"/>
          <w:highlight w:val="none"/>
        </w:rPr>
        <w:t>等人类工程活动，对原地貌进行了大量开挖回填，</w:t>
      </w:r>
      <w:r>
        <w:rPr>
          <w:rFonts w:hint="eastAsia" w:ascii="仿宋" w:hAnsi="仿宋" w:eastAsia="仿宋" w:cs="仿宋"/>
          <w:color w:val="auto"/>
          <w:highlight w:val="none"/>
          <w:lang w:eastAsia="zh-CN"/>
        </w:rPr>
        <w:t>未开挖段</w:t>
      </w:r>
      <w:r>
        <w:rPr>
          <w:rFonts w:hint="eastAsia" w:ascii="仿宋" w:hAnsi="仿宋" w:eastAsia="仿宋" w:cs="仿宋"/>
          <w:color w:val="auto"/>
          <w:highlight w:val="none"/>
        </w:rPr>
        <w:t>地形坡度较陡，一般10～30°。</w:t>
      </w:r>
      <w:r>
        <w:rPr>
          <w:rFonts w:hint="eastAsia" w:ascii="仿宋" w:hAnsi="仿宋" w:eastAsia="仿宋" w:cs="仿宋"/>
          <w:color w:val="auto"/>
          <w:highlight w:val="none"/>
          <w:lang w:eastAsia="zh-CN"/>
        </w:rPr>
        <w:t>道路</w:t>
      </w:r>
      <w:r>
        <w:rPr>
          <w:rFonts w:hint="eastAsia" w:ascii="仿宋" w:hAnsi="仿宋" w:eastAsia="仿宋" w:cs="仿宋"/>
          <w:color w:val="auto"/>
          <w:highlight w:val="none"/>
        </w:rPr>
        <w:t>最高点位于</w:t>
      </w:r>
      <w:r>
        <w:rPr>
          <w:rFonts w:hint="eastAsia" w:ascii="仿宋" w:hAnsi="仿宋" w:eastAsia="仿宋" w:cs="仿宋"/>
          <w:color w:val="auto"/>
          <w:highlight w:val="none"/>
          <w:lang w:eastAsia="zh-CN"/>
        </w:rPr>
        <w:t>南段</w:t>
      </w:r>
      <w:r>
        <w:rPr>
          <w:rFonts w:hint="eastAsia" w:ascii="仿宋" w:hAnsi="仿宋" w:eastAsia="仿宋" w:cs="仿宋"/>
          <w:color w:val="auto"/>
          <w:highlight w:val="none"/>
        </w:rPr>
        <w:t>高程</w:t>
      </w:r>
      <w:r>
        <w:rPr>
          <w:rFonts w:hint="eastAsia" w:ascii="仿宋" w:hAnsi="仿宋" w:eastAsia="仿宋" w:cs="仿宋"/>
          <w:color w:val="auto"/>
          <w:highlight w:val="none"/>
          <w:lang w:eastAsia="zh-CN"/>
        </w:rPr>
        <w:t>约</w:t>
      </w:r>
      <w:r>
        <w:rPr>
          <w:rFonts w:hint="eastAsia" w:ascii="仿宋" w:hAnsi="仿宋" w:eastAsia="仿宋" w:cs="仿宋"/>
          <w:color w:val="auto"/>
          <w:highlight w:val="none"/>
          <w:lang w:val="en-US" w:eastAsia="zh-CN"/>
        </w:rPr>
        <w:t>230</w:t>
      </w:r>
      <w:r>
        <w:rPr>
          <w:rFonts w:hint="eastAsia" w:ascii="仿宋" w:hAnsi="仿宋" w:eastAsia="仿宋" w:cs="仿宋"/>
          <w:color w:val="auto"/>
          <w:highlight w:val="none"/>
        </w:rPr>
        <w:t>m，最低点位于</w:t>
      </w:r>
      <w:r>
        <w:rPr>
          <w:rFonts w:hint="eastAsia" w:ascii="仿宋" w:hAnsi="仿宋" w:eastAsia="仿宋" w:cs="仿宋"/>
          <w:color w:val="auto"/>
          <w:highlight w:val="none"/>
          <w:lang w:eastAsia="zh-CN"/>
        </w:rPr>
        <w:t>北侧</w:t>
      </w:r>
      <w:r>
        <w:rPr>
          <w:rFonts w:hint="eastAsia" w:ascii="仿宋" w:hAnsi="仿宋" w:eastAsia="仿宋" w:cs="仿宋"/>
          <w:color w:val="auto"/>
          <w:highlight w:val="none"/>
        </w:rPr>
        <w:t>，高程</w:t>
      </w:r>
      <w:r>
        <w:rPr>
          <w:rFonts w:hint="eastAsia" w:ascii="仿宋" w:hAnsi="仿宋" w:eastAsia="仿宋" w:cs="仿宋"/>
          <w:color w:val="auto"/>
          <w:highlight w:val="none"/>
          <w:lang w:eastAsia="zh-CN"/>
        </w:rPr>
        <w:t>约</w:t>
      </w:r>
      <w:r>
        <w:rPr>
          <w:rFonts w:hint="eastAsia" w:ascii="仿宋" w:hAnsi="仿宋" w:eastAsia="仿宋" w:cs="仿宋"/>
          <w:color w:val="auto"/>
          <w:highlight w:val="none"/>
          <w:lang w:val="en-US" w:eastAsia="zh-CN"/>
        </w:rPr>
        <w:t>213</w:t>
      </w:r>
      <w:r>
        <w:rPr>
          <w:rFonts w:hint="eastAsia" w:ascii="仿宋" w:hAnsi="仿宋" w:eastAsia="仿宋" w:cs="仿宋"/>
          <w:color w:val="auto"/>
          <w:highlight w:val="none"/>
        </w:rPr>
        <w:t>m。</w:t>
      </w:r>
    </w:p>
    <w:p w14:paraId="1F102E54">
      <w:pPr>
        <w:keepNext/>
        <w:keepLines/>
        <w:pageBreakBefore w:val="0"/>
        <w:widowControl w:val="0"/>
        <w:numPr>
          <w:ilvl w:val="1"/>
          <w:numId w:val="12"/>
        </w:numPr>
        <w:kinsoku/>
        <w:wordWrap/>
        <w:overflowPunct/>
        <w:topLinePunct w:val="0"/>
        <w:autoSpaceDE/>
        <w:autoSpaceDN/>
        <w:bidi w:val="0"/>
        <w:adjustRightInd/>
        <w:snapToGrid/>
        <w:spacing w:line="360" w:lineRule="auto"/>
        <w:ind w:firstLineChars="0"/>
        <w:textAlignment w:val="auto"/>
        <w:outlineLvl w:val="1"/>
        <w:rPr>
          <w:rFonts w:hint="eastAsia" w:ascii="仿宋" w:hAnsi="仿宋" w:eastAsia="仿宋" w:cs="仿宋"/>
          <w:b/>
          <w:bCs/>
          <w:color w:val="auto"/>
          <w:sz w:val="28"/>
          <w:szCs w:val="28"/>
          <w:highlight w:val="none"/>
          <w:lang w:val="en-US" w:eastAsia="zh-CN"/>
        </w:rPr>
      </w:pPr>
      <w:bookmarkStart w:id="42" w:name="_Toc3476"/>
      <w:r>
        <w:rPr>
          <w:rFonts w:hint="eastAsia" w:ascii="仿宋" w:hAnsi="仿宋" w:eastAsia="仿宋" w:cs="仿宋"/>
          <w:b/>
          <w:bCs/>
          <w:color w:val="auto"/>
          <w:sz w:val="28"/>
          <w:szCs w:val="28"/>
          <w:highlight w:val="none"/>
          <w:lang w:val="en-US" w:eastAsia="zh-CN"/>
        </w:rPr>
        <w:t>地震</w:t>
      </w:r>
      <w:bookmarkEnd w:id="42"/>
    </w:p>
    <w:p w14:paraId="65A1229C">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highlight w:val="none"/>
        </w:rPr>
      </w:pPr>
      <w:r>
        <w:rPr>
          <w:rFonts w:hint="eastAsia" w:ascii="仿宋" w:hAnsi="仿宋" w:eastAsia="仿宋" w:cs="仿宋"/>
          <w:color w:val="auto"/>
          <w:highlight w:val="none"/>
        </w:rPr>
        <w:t>据《中国地震烈度区划图（GB18306-2015）》和《建筑抗震设计规范（GB50011-2010）（2016年版）》，项目区抗震设防烈度为6级。地震加速度系数0.05g。</w:t>
      </w:r>
    </w:p>
    <w:p w14:paraId="0B2F65F8">
      <w:pPr>
        <w:keepNext/>
        <w:keepLines/>
        <w:pageBreakBefore w:val="0"/>
        <w:widowControl w:val="0"/>
        <w:numPr>
          <w:ilvl w:val="1"/>
          <w:numId w:val="12"/>
        </w:numPr>
        <w:kinsoku/>
        <w:wordWrap/>
        <w:overflowPunct/>
        <w:topLinePunct w:val="0"/>
        <w:autoSpaceDE/>
        <w:autoSpaceDN/>
        <w:bidi w:val="0"/>
        <w:adjustRightInd/>
        <w:snapToGrid/>
        <w:spacing w:line="360" w:lineRule="auto"/>
        <w:ind w:firstLineChars="0"/>
        <w:textAlignment w:val="auto"/>
        <w:outlineLvl w:val="1"/>
        <w:rPr>
          <w:rFonts w:hint="eastAsia" w:ascii="仿宋" w:hAnsi="仿宋" w:eastAsia="仿宋" w:cs="仿宋"/>
          <w:b/>
          <w:bCs/>
          <w:color w:val="auto"/>
          <w:sz w:val="28"/>
          <w:szCs w:val="28"/>
          <w:highlight w:val="none"/>
          <w:lang w:val="en-US" w:eastAsia="zh-CN"/>
        </w:rPr>
      </w:pPr>
      <w:bookmarkStart w:id="43" w:name="_Toc14432"/>
      <w:r>
        <w:rPr>
          <w:rFonts w:hint="eastAsia" w:ascii="仿宋" w:hAnsi="仿宋" w:eastAsia="仿宋" w:cs="仿宋"/>
          <w:b/>
          <w:bCs/>
          <w:color w:val="auto"/>
          <w:sz w:val="28"/>
          <w:szCs w:val="28"/>
          <w:highlight w:val="none"/>
          <w:lang w:val="en-US" w:eastAsia="zh-CN"/>
        </w:rPr>
        <w:t>供水、供电及通讯条件</w:t>
      </w:r>
      <w:bookmarkEnd w:id="43"/>
    </w:p>
    <w:p w14:paraId="34FA500F">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highlight w:val="none"/>
        </w:rPr>
      </w:pPr>
      <w:r>
        <w:rPr>
          <w:rFonts w:hint="eastAsia" w:ascii="仿宋" w:hAnsi="仿宋" w:eastAsia="仿宋" w:cs="仿宋"/>
          <w:color w:val="auto"/>
          <w:highlight w:val="none"/>
        </w:rPr>
        <w:t>项目所在区域附近为城市发展区，水、电、通信等设施接入方便，比较利于项目建设。</w:t>
      </w:r>
    </w:p>
    <w:p w14:paraId="0D7FA17B">
      <w:pPr>
        <w:keepNext/>
        <w:keepLines/>
        <w:pageBreakBefore w:val="0"/>
        <w:widowControl w:val="0"/>
        <w:numPr>
          <w:ilvl w:val="1"/>
          <w:numId w:val="12"/>
        </w:numPr>
        <w:kinsoku/>
        <w:wordWrap/>
        <w:overflowPunct/>
        <w:topLinePunct w:val="0"/>
        <w:autoSpaceDE/>
        <w:autoSpaceDN/>
        <w:bidi w:val="0"/>
        <w:adjustRightInd/>
        <w:snapToGrid/>
        <w:spacing w:line="360" w:lineRule="auto"/>
        <w:ind w:firstLineChars="0"/>
        <w:textAlignment w:val="auto"/>
        <w:outlineLvl w:val="1"/>
        <w:rPr>
          <w:rFonts w:hint="eastAsia" w:ascii="仿宋" w:hAnsi="仿宋" w:eastAsia="仿宋" w:cs="仿宋"/>
          <w:b/>
          <w:bCs/>
          <w:color w:val="auto"/>
          <w:sz w:val="28"/>
          <w:szCs w:val="28"/>
          <w:highlight w:val="none"/>
          <w:lang w:val="en-US" w:eastAsia="zh-CN"/>
        </w:rPr>
      </w:pPr>
      <w:bookmarkStart w:id="44" w:name="_Toc213"/>
      <w:r>
        <w:rPr>
          <w:rFonts w:hint="eastAsia" w:ascii="仿宋" w:hAnsi="仿宋" w:eastAsia="仿宋" w:cs="仿宋"/>
          <w:b/>
          <w:bCs/>
          <w:color w:val="auto"/>
          <w:sz w:val="28"/>
          <w:szCs w:val="28"/>
          <w:highlight w:val="none"/>
          <w:lang w:val="en-US" w:eastAsia="zh-CN"/>
        </w:rPr>
        <w:t>材料来源及运输条件</w:t>
      </w:r>
      <w:bookmarkEnd w:id="44"/>
    </w:p>
    <w:p w14:paraId="35FAE225">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highlight w:val="none"/>
        </w:rPr>
      </w:pPr>
      <w:r>
        <w:rPr>
          <w:rFonts w:hint="eastAsia" w:ascii="仿宋" w:hAnsi="仿宋" w:eastAsia="仿宋" w:cs="仿宋"/>
          <w:color w:val="auto"/>
          <w:highlight w:val="none"/>
        </w:rPr>
        <w:t>本项目筑路材料较丰富，品种规格齐全，基本满足工程需要，符合工程要求。</w:t>
      </w:r>
    </w:p>
    <w:p w14:paraId="29479AE5">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highlight w:val="none"/>
        </w:rPr>
      </w:pPr>
      <w:r>
        <w:rPr>
          <w:rFonts w:hint="eastAsia" w:ascii="仿宋" w:hAnsi="仿宋" w:eastAsia="仿宋" w:cs="仿宋"/>
          <w:color w:val="auto"/>
          <w:highlight w:val="none"/>
        </w:rPr>
        <w:t>砂石料:其境内有丰富的砂石资源。路面用碎石分布相对较少，需作仔细选择，但其储量及开采石场也满足筑路需要。</w:t>
      </w:r>
    </w:p>
    <w:p w14:paraId="44572F99">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highlight w:val="none"/>
        </w:rPr>
      </w:pPr>
      <w:r>
        <w:rPr>
          <w:rFonts w:hint="eastAsia" w:ascii="仿宋" w:hAnsi="仿宋" w:eastAsia="仿宋" w:cs="仿宋"/>
          <w:color w:val="auto"/>
          <w:highlight w:val="none"/>
        </w:rPr>
        <w:t>工程用水及用电:本项目周边水资源丰富，水源较多、水质洁净、无污染、无工程侵蚀性，运距近，成本低。</w:t>
      </w:r>
    </w:p>
    <w:p w14:paraId="2AB7BAA1">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highlight w:val="none"/>
        </w:rPr>
      </w:pPr>
      <w:r>
        <w:rPr>
          <w:rFonts w:hint="eastAsia" w:ascii="仿宋" w:hAnsi="仿宋" w:eastAsia="仿宋" w:cs="仿宋"/>
          <w:color w:val="auto"/>
          <w:highlight w:val="none"/>
        </w:rPr>
        <w:t>沿线电力资源丰富，可直接与当地电力部门协商解决。</w:t>
      </w:r>
    </w:p>
    <w:p w14:paraId="7D934A60">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highlight w:val="none"/>
        </w:rPr>
      </w:pPr>
      <w:r>
        <w:rPr>
          <w:rFonts w:hint="eastAsia" w:ascii="仿宋" w:hAnsi="仿宋" w:eastAsia="仿宋" w:cs="仿宋"/>
          <w:color w:val="auto"/>
          <w:highlight w:val="none"/>
        </w:rPr>
        <w:t>水泥、钢材、木材、沥青：水泥、钢材、木材、沥青等材料在当地均可直接采购，运输条件方便。</w:t>
      </w:r>
    </w:p>
    <w:p w14:paraId="392F44B9">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highlight w:val="none"/>
        </w:rPr>
      </w:pPr>
      <w:r>
        <w:rPr>
          <w:rFonts w:hint="eastAsia" w:ascii="仿宋" w:hAnsi="仿宋" w:eastAsia="仿宋" w:cs="仿宋"/>
          <w:color w:val="auto"/>
          <w:highlight w:val="none"/>
        </w:rPr>
        <w:t>运输条件：沿线所需外购材料可利用现状路网运至工地、运输条件尚可。</w:t>
      </w:r>
    </w:p>
    <w:p w14:paraId="15854CC4">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highlight w:val="none"/>
        </w:rPr>
      </w:pPr>
      <w:r>
        <w:rPr>
          <w:rFonts w:hint="eastAsia" w:ascii="仿宋" w:hAnsi="仿宋" w:eastAsia="仿宋" w:cs="仿宋"/>
          <w:color w:val="auto"/>
          <w:highlight w:val="none"/>
        </w:rPr>
        <w:t>综上所述，项目拟建场地自然条件较好，无不良地质现象，周边配套设施齐全，交通便捷，施工条件优越，公用配套设施完全能够满足本项目建设和运营的需要。项目各项建设条件能够满足建设要求。</w:t>
      </w:r>
      <w:bookmarkEnd w:id="38"/>
      <w:bookmarkEnd w:id="39"/>
      <w:bookmarkStart w:id="45" w:name="_Toc93997370"/>
      <w:bookmarkStart w:id="46" w:name="_Toc93997287"/>
    </w:p>
    <w:p w14:paraId="6330DA03">
      <w:pPr>
        <w:keepNext/>
        <w:keepLines/>
        <w:pageBreakBefore w:val="0"/>
        <w:widowControl w:val="0"/>
        <w:numPr>
          <w:ilvl w:val="0"/>
          <w:numId w:val="12"/>
        </w:numPr>
        <w:kinsoku/>
        <w:wordWrap/>
        <w:overflowPunct/>
        <w:topLinePunct w:val="0"/>
        <w:autoSpaceDE/>
        <w:autoSpaceDN/>
        <w:bidi w:val="0"/>
        <w:adjustRightInd/>
        <w:snapToGrid/>
        <w:ind w:left="0" w:leftChars="0" w:firstLine="0" w:firstLineChars="0"/>
        <w:textAlignment w:val="auto"/>
        <w:outlineLvl w:val="0"/>
        <w:rPr>
          <w:rFonts w:hint="eastAsia" w:ascii="仿宋" w:hAnsi="仿宋" w:eastAsia="仿宋" w:cs="仿宋"/>
          <w:b/>
          <w:bCs/>
          <w:color w:val="auto"/>
          <w:sz w:val="30"/>
          <w:szCs w:val="30"/>
          <w:highlight w:val="none"/>
          <w:lang w:val="en-US" w:eastAsia="zh-CN"/>
        </w:rPr>
      </w:pPr>
      <w:bookmarkStart w:id="47" w:name="_Toc32278"/>
      <w:r>
        <w:rPr>
          <w:rFonts w:hint="eastAsia" w:ascii="仿宋" w:hAnsi="仿宋" w:eastAsia="仿宋" w:cs="仿宋"/>
          <w:b/>
          <w:bCs/>
          <w:color w:val="auto"/>
          <w:sz w:val="30"/>
          <w:szCs w:val="30"/>
          <w:highlight w:val="none"/>
          <w:lang w:val="en-US" w:eastAsia="zh-CN"/>
        </w:rPr>
        <w:t>设计原则及技术指标</w:t>
      </w:r>
      <w:bookmarkEnd w:id="45"/>
      <w:bookmarkEnd w:id="46"/>
      <w:bookmarkEnd w:id="47"/>
    </w:p>
    <w:p w14:paraId="3CB88030">
      <w:pPr>
        <w:keepNext/>
        <w:keepLines/>
        <w:pageBreakBefore w:val="0"/>
        <w:widowControl w:val="0"/>
        <w:numPr>
          <w:ilvl w:val="1"/>
          <w:numId w:val="12"/>
        </w:numPr>
        <w:kinsoku/>
        <w:wordWrap/>
        <w:overflowPunct/>
        <w:topLinePunct w:val="0"/>
        <w:autoSpaceDE/>
        <w:autoSpaceDN/>
        <w:bidi w:val="0"/>
        <w:adjustRightInd/>
        <w:snapToGrid/>
        <w:spacing w:line="360" w:lineRule="auto"/>
        <w:ind w:firstLineChars="0"/>
        <w:textAlignment w:val="auto"/>
        <w:outlineLvl w:val="1"/>
        <w:rPr>
          <w:rFonts w:hint="eastAsia" w:ascii="仿宋" w:hAnsi="仿宋" w:eastAsia="仿宋" w:cs="仿宋"/>
          <w:b/>
          <w:bCs/>
          <w:color w:val="auto"/>
          <w:sz w:val="28"/>
          <w:szCs w:val="28"/>
          <w:highlight w:val="none"/>
          <w:lang w:val="en-US" w:eastAsia="zh-CN"/>
        </w:rPr>
      </w:pPr>
      <w:bookmarkStart w:id="48" w:name="_Toc12002"/>
      <w:r>
        <w:rPr>
          <w:rFonts w:hint="eastAsia" w:ascii="仿宋" w:hAnsi="仿宋" w:eastAsia="仿宋" w:cs="仿宋"/>
          <w:b/>
          <w:bCs/>
          <w:color w:val="auto"/>
          <w:sz w:val="28"/>
          <w:szCs w:val="28"/>
          <w:highlight w:val="none"/>
          <w:lang w:val="en-US" w:eastAsia="zh-CN"/>
        </w:rPr>
        <w:t>设计原则</w:t>
      </w:r>
      <w:bookmarkEnd w:id="48"/>
    </w:p>
    <w:p w14:paraId="39AC6828">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eastAsia="zh-CN"/>
        </w:rPr>
        <w:t>本项目为现状道路修复提升，该道路作为东站及周边项目主要施工进出通道，长期经受超限车辆的反复碾压，造成的车行道及人行道破损，部分路基沉陷，雨水口及市政检查井破损。另外本项目位于东站站前区域，属于东站枢纽新城的核心，道路品质及定位要求高，因此本项目在对现状道路修复的同时，对道路品质及景观进行提升</w:t>
      </w:r>
      <w:r>
        <w:rPr>
          <w:rFonts w:hint="eastAsia" w:ascii="仿宋" w:hAnsi="仿宋" w:eastAsia="仿宋" w:cs="仿宋"/>
          <w:color w:val="auto"/>
          <w:highlight w:val="none"/>
          <w:lang w:val="en-US" w:eastAsia="zh-CN"/>
        </w:rPr>
        <w:t>。具体设计原则如下：</w:t>
      </w:r>
    </w:p>
    <w:p w14:paraId="23321180">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（1）满足道路行车要求，以及道路功能需求；</w:t>
      </w:r>
    </w:p>
    <w:p w14:paraId="62FE0B5F">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（2）为不影响现状交通以及沿线的管线和建筑，纵断面设计高程原则上与原路面高程一致；</w:t>
      </w:r>
    </w:p>
    <w:p w14:paraId="2557647E">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（3）维修后的道路在正常交通增长的情况下，安全运营达到预定年限；</w:t>
      </w:r>
    </w:p>
    <w:p w14:paraId="33BD0CE3">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（4）满足使用功能的前提下尽量节约投资的原则；</w:t>
      </w:r>
    </w:p>
    <w:p w14:paraId="50AAC501">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highlight w:val="none"/>
          <w:lang w:eastAsia="zh-CN"/>
        </w:rPr>
      </w:pPr>
      <w:r>
        <w:rPr>
          <w:rFonts w:hint="eastAsia" w:ascii="仿宋" w:hAnsi="仿宋" w:eastAsia="仿宋" w:cs="仿宋"/>
          <w:color w:val="auto"/>
          <w:highlight w:val="none"/>
          <w:lang w:val="en-US" w:eastAsia="zh-CN"/>
        </w:rPr>
        <w:t>（5）</w:t>
      </w:r>
      <w:r>
        <w:rPr>
          <w:rFonts w:hint="eastAsia" w:ascii="仿宋" w:hAnsi="仿宋" w:eastAsia="仿宋" w:cs="仿宋"/>
          <w:color w:val="auto"/>
          <w:highlight w:val="none"/>
        </w:rPr>
        <w:t>针对不同的病害类型，采用不同的处治措施，</w:t>
      </w:r>
      <w:r>
        <w:rPr>
          <w:rFonts w:hint="eastAsia" w:ascii="仿宋" w:hAnsi="仿宋" w:eastAsia="仿宋" w:cs="仿宋"/>
          <w:color w:val="auto"/>
          <w:highlight w:val="none"/>
          <w:lang w:val="en-US" w:eastAsia="zh-CN"/>
        </w:rPr>
        <w:t>维修处治方案做到实事求是易于操作的原则，</w:t>
      </w:r>
      <w:r>
        <w:rPr>
          <w:rFonts w:hint="eastAsia" w:ascii="仿宋" w:hAnsi="仿宋" w:eastAsia="仿宋" w:cs="仿宋"/>
          <w:color w:val="auto"/>
          <w:highlight w:val="none"/>
        </w:rPr>
        <w:t>尽量做到施工周期短，对现状交通影响小</w:t>
      </w:r>
      <w:r>
        <w:rPr>
          <w:rFonts w:hint="eastAsia" w:ascii="仿宋" w:hAnsi="仿宋" w:eastAsia="仿宋" w:cs="仿宋"/>
          <w:color w:val="auto"/>
          <w:highlight w:val="none"/>
          <w:lang w:eastAsia="zh-CN"/>
        </w:rPr>
        <w:t>；</w:t>
      </w:r>
    </w:p>
    <w:p w14:paraId="3C69B26C">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6</w:t>
      </w:r>
      <w:r>
        <w:rPr>
          <w:rFonts w:hint="eastAsia" w:ascii="仿宋" w:hAnsi="仿宋" w:eastAsia="仿宋" w:cs="仿宋"/>
          <w:color w:val="auto"/>
          <w:highlight w:val="none"/>
          <w:lang w:eastAsia="zh-CN"/>
        </w:rPr>
        <w:t>）结合周边在建道路以及整个东站片区的道路交通组织情况，优化本项目的交通组织及渠化设计；</w:t>
      </w:r>
    </w:p>
    <w:p w14:paraId="50E233D8">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7</w:t>
      </w:r>
      <w:r>
        <w:rPr>
          <w:rFonts w:hint="eastAsia" w:ascii="仿宋" w:hAnsi="仿宋" w:eastAsia="仿宋" w:cs="仿宋"/>
          <w:color w:val="auto"/>
          <w:highlight w:val="none"/>
          <w:lang w:eastAsia="zh-CN"/>
        </w:rPr>
        <w:t>）人行道铺装及路缘石风格与广茂大道北段、东站次支路网、茶惠大道等风格保持统一，确保区域任你行道铺装整体风格保持一致；</w:t>
      </w:r>
    </w:p>
    <w:p w14:paraId="19608002">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8</w:t>
      </w:r>
      <w:r>
        <w:rPr>
          <w:rFonts w:hint="eastAsia" w:ascii="仿宋" w:hAnsi="仿宋" w:eastAsia="仿宋" w:cs="仿宋"/>
          <w:color w:val="auto"/>
          <w:highlight w:val="none"/>
          <w:lang w:eastAsia="zh-CN"/>
        </w:rPr>
        <w:t>）植物绿化提升尽量利用现状行道树及灌木，通过补充小乔木，加密灌木及地被等方式，完善行道树及树池、中央绿化带、交通道以及道路周边限制绿地，做到经济美观，利于养护；</w:t>
      </w:r>
    </w:p>
    <w:p w14:paraId="3FBBC1B0">
      <w:pPr>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9</w:t>
      </w:r>
      <w:r>
        <w:rPr>
          <w:rFonts w:hint="eastAsia" w:ascii="仿宋" w:hAnsi="仿宋" w:eastAsia="仿宋" w:cs="仿宋"/>
          <w:color w:val="auto"/>
          <w:highlight w:val="none"/>
          <w:lang w:eastAsia="zh-CN"/>
        </w:rPr>
        <w:t>）地下管网修复结合最新管道内窥资料，提出合理可行的修复方案，同步完善相应的雨水口及市政检查井。</w:t>
      </w:r>
    </w:p>
    <w:p w14:paraId="36FDD191">
      <w:pPr>
        <w:keepNext/>
        <w:keepLines/>
        <w:pageBreakBefore w:val="0"/>
        <w:widowControl w:val="0"/>
        <w:numPr>
          <w:ilvl w:val="1"/>
          <w:numId w:val="12"/>
        </w:numPr>
        <w:kinsoku/>
        <w:wordWrap/>
        <w:overflowPunct/>
        <w:topLinePunct w:val="0"/>
        <w:autoSpaceDE/>
        <w:autoSpaceDN/>
        <w:bidi w:val="0"/>
        <w:adjustRightInd/>
        <w:snapToGrid/>
        <w:spacing w:line="360" w:lineRule="auto"/>
        <w:ind w:firstLineChars="0"/>
        <w:jc w:val="left"/>
        <w:textAlignment w:val="auto"/>
        <w:outlineLvl w:val="1"/>
        <w:rPr>
          <w:rFonts w:hint="eastAsia" w:ascii="仿宋" w:hAnsi="仿宋" w:eastAsia="仿宋" w:cs="仿宋"/>
          <w:b/>
          <w:bCs/>
          <w:color w:val="auto"/>
          <w:sz w:val="28"/>
          <w:szCs w:val="28"/>
          <w:highlight w:val="none"/>
          <w:lang w:val="en-US" w:eastAsia="zh-CN"/>
        </w:rPr>
      </w:pPr>
      <w:bookmarkStart w:id="49" w:name="_Toc23938"/>
      <w:r>
        <w:rPr>
          <w:rFonts w:hint="eastAsia" w:ascii="仿宋" w:hAnsi="仿宋" w:eastAsia="仿宋" w:cs="仿宋"/>
          <w:b/>
          <w:bCs/>
          <w:color w:val="auto"/>
          <w:sz w:val="28"/>
          <w:szCs w:val="28"/>
          <w:highlight w:val="none"/>
          <w:lang w:val="en-US" w:eastAsia="zh-CN"/>
        </w:rPr>
        <w:t>设计目的</w:t>
      </w:r>
      <w:bookmarkEnd w:id="49"/>
    </w:p>
    <w:p w14:paraId="090FA1BF">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lang w:eastAsia="zh-CN"/>
        </w:rPr>
        <w:t>匹配东站及东站枢纽新城的建设要求，提升南岸区乃至主城区的门户形象</w:t>
      </w:r>
      <w:r>
        <w:rPr>
          <w:rFonts w:hint="eastAsia" w:ascii="仿宋" w:hAnsi="仿宋" w:eastAsia="仿宋" w:cs="仿宋"/>
          <w:color w:val="auto"/>
          <w:highlight w:val="none"/>
        </w:rPr>
        <w:t>。</w:t>
      </w:r>
    </w:p>
    <w:p w14:paraId="6A0899D3">
      <w:pPr>
        <w:keepNext/>
        <w:keepLines/>
        <w:pageBreakBefore w:val="0"/>
        <w:widowControl w:val="0"/>
        <w:numPr>
          <w:ilvl w:val="1"/>
          <w:numId w:val="12"/>
        </w:numPr>
        <w:kinsoku/>
        <w:wordWrap/>
        <w:overflowPunct/>
        <w:topLinePunct w:val="0"/>
        <w:autoSpaceDE/>
        <w:autoSpaceDN/>
        <w:bidi w:val="0"/>
        <w:adjustRightInd/>
        <w:snapToGrid/>
        <w:spacing w:line="360" w:lineRule="auto"/>
        <w:ind w:firstLineChars="0"/>
        <w:jc w:val="left"/>
        <w:textAlignment w:val="auto"/>
        <w:outlineLvl w:val="1"/>
        <w:rPr>
          <w:rFonts w:hint="eastAsia" w:ascii="仿宋" w:hAnsi="仿宋" w:eastAsia="仿宋" w:cs="仿宋"/>
          <w:b/>
          <w:bCs/>
          <w:color w:val="auto"/>
          <w:sz w:val="28"/>
          <w:szCs w:val="28"/>
          <w:highlight w:val="none"/>
          <w:lang w:val="en-US" w:eastAsia="zh-CN"/>
        </w:rPr>
      </w:pPr>
      <w:bookmarkStart w:id="50" w:name="_Toc7815"/>
      <w:r>
        <w:rPr>
          <w:rFonts w:hint="eastAsia" w:ascii="仿宋" w:hAnsi="仿宋" w:eastAsia="仿宋" w:cs="仿宋"/>
          <w:b/>
          <w:bCs/>
          <w:color w:val="auto"/>
          <w:sz w:val="28"/>
          <w:szCs w:val="28"/>
          <w:highlight w:val="none"/>
          <w:lang w:val="en-US" w:eastAsia="zh-CN"/>
        </w:rPr>
        <w:t>现状调查与评价</w:t>
      </w:r>
      <w:bookmarkEnd w:id="50"/>
    </w:p>
    <w:p w14:paraId="34A347E3">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通过对现状及建设单位有关工程技术人员的咨询，了解路段目前的养护维修使用情况，针对目前沥青路面破损情况，制定了逐块调查的方法。路面破损评定标准：《城镇道路养护技术规范》（CJJ36-2016）的路面破损评定标准为主，结合本工程的实际按下表分类评定。</w:t>
      </w:r>
    </w:p>
    <w:p w14:paraId="7F2A6E32">
      <w:pPr>
        <w:pStyle w:val="296"/>
        <w:rPr>
          <w:rFonts w:hint="eastAsia" w:ascii="仿宋" w:hAnsi="仿宋" w:eastAsia="仿宋" w:cs="仿宋"/>
          <w:color w:val="auto"/>
          <w:highlight w:val="none"/>
        </w:rPr>
      </w:pPr>
      <w:r>
        <w:rPr>
          <w:rFonts w:hint="eastAsia" w:ascii="仿宋" w:hAnsi="仿宋" w:eastAsia="仿宋" w:cs="仿宋"/>
          <w:color w:val="auto"/>
          <w:highlight w:val="none"/>
        </w:rPr>
        <w:t>主要调查内容</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2"/>
        <w:gridCol w:w="3765"/>
        <w:gridCol w:w="4651"/>
      </w:tblGrid>
      <w:tr w14:paraId="5CDE49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18" w:hRule="atLeast"/>
          <w:jc w:val="center"/>
        </w:trPr>
        <w:tc>
          <w:tcPr>
            <w:tcW w:w="1422" w:type="dxa"/>
          </w:tcPr>
          <w:p w14:paraId="252E404D">
            <w:pPr>
              <w:keepNext w:val="0"/>
              <w:keepLines w:val="0"/>
              <w:pageBreakBefore w:val="0"/>
              <w:widowControl/>
              <w:suppressLineNumbers w:val="0"/>
              <w:kinsoku/>
              <w:wordWrap/>
              <w:overflowPunct/>
              <w:topLinePunct w:val="0"/>
              <w:autoSpaceDE/>
              <w:autoSpaceDN/>
              <w:bidi w:val="0"/>
              <w:adjustRightInd/>
              <w:snapToGrid/>
              <w:ind w:left="0" w:leftChars="0" w:firstLine="0" w:firstLineChars="0"/>
              <w:jc w:val="center"/>
              <w:textAlignment w:val="bottom"/>
              <w:rPr>
                <w:rFonts w:hint="eastAsia" w:ascii="仿宋" w:hAnsi="仿宋" w:eastAsia="仿宋" w:cs="仿宋"/>
                <w:i w:val="0"/>
                <w:iCs w:val="0"/>
                <w:color w:val="auto"/>
                <w:kern w:val="0"/>
                <w:sz w:val="24"/>
                <w:szCs w:val="24"/>
                <w:highlight w:val="none"/>
                <w:u w:val="none"/>
                <w:lang w:val="en-US" w:eastAsia="zh-CN" w:bidi="ar"/>
              </w:rPr>
            </w:pPr>
            <w:r>
              <w:rPr>
                <w:rFonts w:hint="eastAsia" w:ascii="仿宋" w:hAnsi="仿宋" w:eastAsia="仿宋" w:cs="仿宋"/>
                <w:i w:val="0"/>
                <w:iCs w:val="0"/>
                <w:color w:val="auto"/>
                <w:kern w:val="0"/>
                <w:sz w:val="24"/>
                <w:szCs w:val="24"/>
                <w:highlight w:val="none"/>
                <w:u w:val="none"/>
                <w:lang w:val="en-US" w:eastAsia="zh-CN" w:bidi="ar"/>
              </w:rPr>
              <w:t>编号</w:t>
            </w:r>
          </w:p>
        </w:tc>
        <w:tc>
          <w:tcPr>
            <w:tcW w:w="3765" w:type="dxa"/>
          </w:tcPr>
          <w:p w14:paraId="34FA4DE6">
            <w:pPr>
              <w:keepNext w:val="0"/>
              <w:keepLines w:val="0"/>
              <w:pageBreakBefore w:val="0"/>
              <w:widowControl/>
              <w:suppressLineNumbers w:val="0"/>
              <w:kinsoku/>
              <w:wordWrap/>
              <w:overflowPunct/>
              <w:topLinePunct w:val="0"/>
              <w:autoSpaceDE/>
              <w:autoSpaceDN/>
              <w:bidi w:val="0"/>
              <w:adjustRightInd/>
              <w:snapToGrid/>
              <w:ind w:left="0" w:leftChars="0" w:firstLine="0" w:firstLineChars="0"/>
              <w:jc w:val="center"/>
              <w:textAlignment w:val="bottom"/>
              <w:rPr>
                <w:rFonts w:hint="eastAsia" w:ascii="仿宋" w:hAnsi="仿宋" w:eastAsia="仿宋" w:cs="仿宋"/>
                <w:i w:val="0"/>
                <w:iCs w:val="0"/>
                <w:color w:val="auto"/>
                <w:kern w:val="0"/>
                <w:sz w:val="24"/>
                <w:szCs w:val="24"/>
                <w:highlight w:val="none"/>
                <w:u w:val="none"/>
                <w:lang w:val="en-US" w:eastAsia="zh-CN" w:bidi="ar"/>
              </w:rPr>
            </w:pPr>
            <w:r>
              <w:rPr>
                <w:rFonts w:hint="eastAsia" w:ascii="仿宋" w:hAnsi="仿宋" w:eastAsia="仿宋" w:cs="仿宋"/>
                <w:i w:val="0"/>
                <w:iCs w:val="0"/>
                <w:color w:val="auto"/>
                <w:kern w:val="0"/>
                <w:sz w:val="24"/>
                <w:szCs w:val="24"/>
                <w:highlight w:val="none"/>
                <w:u w:val="none"/>
                <w:lang w:val="en-US" w:eastAsia="zh-CN" w:bidi="ar"/>
              </w:rPr>
              <w:t>调查内容</w:t>
            </w:r>
          </w:p>
        </w:tc>
        <w:tc>
          <w:tcPr>
            <w:tcW w:w="4651" w:type="dxa"/>
          </w:tcPr>
          <w:p w14:paraId="136549B7">
            <w:pPr>
              <w:keepNext w:val="0"/>
              <w:keepLines w:val="0"/>
              <w:pageBreakBefore w:val="0"/>
              <w:widowControl/>
              <w:suppressLineNumbers w:val="0"/>
              <w:kinsoku/>
              <w:wordWrap/>
              <w:overflowPunct/>
              <w:topLinePunct w:val="0"/>
              <w:autoSpaceDE/>
              <w:autoSpaceDN/>
              <w:bidi w:val="0"/>
              <w:adjustRightInd/>
              <w:snapToGrid/>
              <w:ind w:left="0" w:leftChars="0" w:firstLine="0" w:firstLineChars="0"/>
              <w:jc w:val="center"/>
              <w:textAlignment w:val="bottom"/>
              <w:rPr>
                <w:rFonts w:hint="eastAsia" w:ascii="仿宋" w:hAnsi="仿宋" w:eastAsia="仿宋" w:cs="仿宋"/>
                <w:i w:val="0"/>
                <w:iCs w:val="0"/>
                <w:color w:val="auto"/>
                <w:kern w:val="0"/>
                <w:sz w:val="24"/>
                <w:szCs w:val="24"/>
                <w:highlight w:val="none"/>
                <w:u w:val="none"/>
                <w:lang w:val="en-US" w:eastAsia="zh-CN" w:bidi="ar"/>
              </w:rPr>
            </w:pPr>
            <w:r>
              <w:rPr>
                <w:rFonts w:hint="eastAsia" w:ascii="仿宋" w:hAnsi="仿宋" w:eastAsia="仿宋" w:cs="仿宋"/>
                <w:i w:val="0"/>
                <w:iCs w:val="0"/>
                <w:color w:val="auto"/>
                <w:kern w:val="0"/>
                <w:sz w:val="24"/>
                <w:szCs w:val="24"/>
                <w:highlight w:val="none"/>
                <w:u w:val="none"/>
                <w:lang w:val="en-US" w:eastAsia="zh-CN" w:bidi="ar"/>
              </w:rPr>
              <w:t>备注</w:t>
            </w:r>
          </w:p>
        </w:tc>
      </w:tr>
      <w:tr w14:paraId="41C40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8" w:hRule="atLeast"/>
          <w:jc w:val="center"/>
        </w:trPr>
        <w:tc>
          <w:tcPr>
            <w:tcW w:w="1422" w:type="dxa"/>
          </w:tcPr>
          <w:p w14:paraId="18D931AF">
            <w:pPr>
              <w:keepNext w:val="0"/>
              <w:keepLines w:val="0"/>
              <w:pageBreakBefore w:val="0"/>
              <w:widowControl/>
              <w:suppressLineNumbers w:val="0"/>
              <w:kinsoku/>
              <w:wordWrap/>
              <w:overflowPunct/>
              <w:topLinePunct w:val="0"/>
              <w:autoSpaceDE/>
              <w:autoSpaceDN/>
              <w:bidi w:val="0"/>
              <w:adjustRightInd/>
              <w:snapToGrid/>
              <w:ind w:left="0" w:leftChars="0" w:firstLine="0" w:firstLineChars="0"/>
              <w:jc w:val="center"/>
              <w:textAlignment w:val="bottom"/>
              <w:rPr>
                <w:rFonts w:hint="eastAsia" w:ascii="仿宋" w:hAnsi="仿宋" w:eastAsia="仿宋" w:cs="仿宋"/>
                <w:i w:val="0"/>
                <w:iCs w:val="0"/>
                <w:color w:val="auto"/>
                <w:kern w:val="0"/>
                <w:sz w:val="24"/>
                <w:szCs w:val="24"/>
                <w:highlight w:val="none"/>
                <w:u w:val="none"/>
                <w:lang w:val="en-US" w:eastAsia="zh-CN" w:bidi="ar"/>
              </w:rPr>
            </w:pPr>
            <w:r>
              <w:rPr>
                <w:rFonts w:hint="eastAsia" w:ascii="仿宋" w:hAnsi="仿宋" w:eastAsia="仿宋" w:cs="仿宋"/>
                <w:i w:val="0"/>
                <w:iCs w:val="0"/>
                <w:color w:val="auto"/>
                <w:kern w:val="0"/>
                <w:sz w:val="24"/>
                <w:szCs w:val="24"/>
                <w:highlight w:val="none"/>
                <w:u w:val="none"/>
                <w:lang w:val="en-US" w:eastAsia="zh-CN" w:bidi="ar"/>
              </w:rPr>
              <w:t>1</w:t>
            </w:r>
          </w:p>
        </w:tc>
        <w:tc>
          <w:tcPr>
            <w:tcW w:w="3765" w:type="dxa"/>
          </w:tcPr>
          <w:p w14:paraId="0F79D5F9">
            <w:pPr>
              <w:keepNext w:val="0"/>
              <w:keepLines w:val="0"/>
              <w:pageBreakBefore w:val="0"/>
              <w:widowControl/>
              <w:suppressLineNumbers w:val="0"/>
              <w:kinsoku/>
              <w:wordWrap/>
              <w:overflowPunct/>
              <w:topLinePunct w:val="0"/>
              <w:autoSpaceDE/>
              <w:autoSpaceDN/>
              <w:bidi w:val="0"/>
              <w:adjustRightInd/>
              <w:snapToGrid/>
              <w:ind w:left="0" w:leftChars="0" w:firstLine="0" w:firstLineChars="0"/>
              <w:jc w:val="center"/>
              <w:textAlignment w:val="bottom"/>
              <w:rPr>
                <w:rFonts w:hint="eastAsia" w:ascii="仿宋" w:hAnsi="仿宋" w:eastAsia="仿宋" w:cs="仿宋"/>
                <w:i w:val="0"/>
                <w:iCs w:val="0"/>
                <w:color w:val="auto"/>
                <w:kern w:val="0"/>
                <w:sz w:val="24"/>
                <w:szCs w:val="24"/>
                <w:highlight w:val="none"/>
                <w:u w:val="none"/>
                <w:lang w:val="en-US" w:eastAsia="zh-CN" w:bidi="ar"/>
              </w:rPr>
            </w:pPr>
            <w:r>
              <w:rPr>
                <w:rFonts w:hint="eastAsia" w:ascii="仿宋" w:hAnsi="仿宋" w:eastAsia="仿宋" w:cs="仿宋"/>
                <w:i w:val="0"/>
                <w:iCs w:val="0"/>
                <w:color w:val="auto"/>
                <w:kern w:val="0"/>
                <w:sz w:val="24"/>
                <w:szCs w:val="24"/>
                <w:highlight w:val="none"/>
                <w:u w:val="none"/>
                <w:lang w:val="en-US" w:eastAsia="zh-CN" w:bidi="ar"/>
              </w:rPr>
              <w:t>路面损坏状况</w:t>
            </w:r>
          </w:p>
        </w:tc>
        <w:tc>
          <w:tcPr>
            <w:tcW w:w="4651" w:type="dxa"/>
          </w:tcPr>
          <w:p w14:paraId="52AFBDF5">
            <w:pPr>
              <w:keepNext w:val="0"/>
              <w:keepLines w:val="0"/>
              <w:pageBreakBefore w:val="0"/>
              <w:widowControl/>
              <w:suppressLineNumbers w:val="0"/>
              <w:kinsoku/>
              <w:wordWrap/>
              <w:overflowPunct/>
              <w:topLinePunct w:val="0"/>
              <w:autoSpaceDE/>
              <w:autoSpaceDN/>
              <w:bidi w:val="0"/>
              <w:adjustRightInd/>
              <w:snapToGrid/>
              <w:ind w:left="0" w:leftChars="0" w:firstLine="0" w:firstLineChars="0"/>
              <w:jc w:val="center"/>
              <w:textAlignment w:val="bottom"/>
              <w:rPr>
                <w:rFonts w:hint="eastAsia" w:ascii="仿宋" w:hAnsi="仿宋" w:eastAsia="仿宋" w:cs="仿宋"/>
                <w:i w:val="0"/>
                <w:iCs w:val="0"/>
                <w:color w:val="auto"/>
                <w:kern w:val="0"/>
                <w:sz w:val="24"/>
                <w:szCs w:val="24"/>
                <w:highlight w:val="none"/>
                <w:u w:val="none"/>
                <w:lang w:val="en-US" w:eastAsia="zh-CN" w:bidi="ar"/>
              </w:rPr>
            </w:pPr>
            <w:r>
              <w:rPr>
                <w:rFonts w:hint="eastAsia" w:ascii="仿宋" w:hAnsi="仿宋" w:eastAsia="仿宋" w:cs="仿宋"/>
                <w:i w:val="0"/>
                <w:iCs w:val="0"/>
                <w:color w:val="auto"/>
                <w:kern w:val="0"/>
                <w:sz w:val="24"/>
                <w:szCs w:val="24"/>
                <w:highlight w:val="none"/>
                <w:u w:val="none"/>
                <w:lang w:val="en-US" w:eastAsia="zh-CN" w:bidi="ar"/>
              </w:rPr>
              <w:t>损坏类型、轻重程度、范围</w:t>
            </w:r>
          </w:p>
        </w:tc>
      </w:tr>
      <w:tr w14:paraId="65632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8" w:hRule="atLeast"/>
          <w:jc w:val="center"/>
        </w:trPr>
        <w:tc>
          <w:tcPr>
            <w:tcW w:w="1422" w:type="dxa"/>
          </w:tcPr>
          <w:p w14:paraId="3E895C7D">
            <w:pPr>
              <w:keepNext w:val="0"/>
              <w:keepLines w:val="0"/>
              <w:pageBreakBefore w:val="0"/>
              <w:widowControl/>
              <w:suppressLineNumbers w:val="0"/>
              <w:kinsoku/>
              <w:wordWrap/>
              <w:overflowPunct/>
              <w:topLinePunct w:val="0"/>
              <w:autoSpaceDE/>
              <w:autoSpaceDN/>
              <w:bidi w:val="0"/>
              <w:adjustRightInd/>
              <w:snapToGrid/>
              <w:ind w:left="0" w:leftChars="0" w:firstLine="0" w:firstLineChars="0"/>
              <w:jc w:val="center"/>
              <w:textAlignment w:val="bottom"/>
              <w:rPr>
                <w:rFonts w:hint="eastAsia" w:ascii="仿宋" w:hAnsi="仿宋" w:eastAsia="仿宋" w:cs="仿宋"/>
                <w:i w:val="0"/>
                <w:iCs w:val="0"/>
                <w:color w:val="auto"/>
                <w:kern w:val="0"/>
                <w:sz w:val="24"/>
                <w:szCs w:val="24"/>
                <w:highlight w:val="none"/>
                <w:u w:val="none"/>
                <w:lang w:val="en-US" w:eastAsia="zh-CN" w:bidi="ar"/>
              </w:rPr>
            </w:pPr>
            <w:r>
              <w:rPr>
                <w:rFonts w:hint="eastAsia" w:ascii="仿宋" w:hAnsi="仿宋" w:eastAsia="仿宋" w:cs="仿宋"/>
                <w:i w:val="0"/>
                <w:iCs w:val="0"/>
                <w:color w:val="auto"/>
                <w:kern w:val="0"/>
                <w:sz w:val="24"/>
                <w:szCs w:val="24"/>
                <w:highlight w:val="none"/>
                <w:u w:val="none"/>
                <w:lang w:val="en-US" w:eastAsia="zh-CN" w:bidi="ar"/>
              </w:rPr>
              <w:t>2</w:t>
            </w:r>
          </w:p>
        </w:tc>
        <w:tc>
          <w:tcPr>
            <w:tcW w:w="3765" w:type="dxa"/>
          </w:tcPr>
          <w:p w14:paraId="61C36256">
            <w:pPr>
              <w:keepNext w:val="0"/>
              <w:keepLines w:val="0"/>
              <w:pageBreakBefore w:val="0"/>
              <w:widowControl/>
              <w:suppressLineNumbers w:val="0"/>
              <w:kinsoku/>
              <w:wordWrap/>
              <w:overflowPunct/>
              <w:topLinePunct w:val="0"/>
              <w:autoSpaceDE/>
              <w:autoSpaceDN/>
              <w:bidi w:val="0"/>
              <w:adjustRightInd/>
              <w:snapToGrid/>
              <w:ind w:left="0" w:leftChars="0" w:firstLine="0" w:firstLineChars="0"/>
              <w:jc w:val="center"/>
              <w:textAlignment w:val="bottom"/>
              <w:rPr>
                <w:rFonts w:hint="eastAsia" w:ascii="仿宋" w:hAnsi="仿宋" w:eastAsia="仿宋" w:cs="仿宋"/>
                <w:i w:val="0"/>
                <w:iCs w:val="0"/>
                <w:color w:val="auto"/>
                <w:kern w:val="0"/>
                <w:sz w:val="24"/>
                <w:szCs w:val="24"/>
                <w:highlight w:val="none"/>
                <w:u w:val="none"/>
                <w:lang w:val="en-US" w:eastAsia="zh-CN" w:bidi="ar"/>
              </w:rPr>
            </w:pPr>
            <w:r>
              <w:rPr>
                <w:rFonts w:hint="eastAsia" w:ascii="仿宋" w:hAnsi="仿宋" w:eastAsia="仿宋" w:cs="仿宋"/>
                <w:i w:val="0"/>
                <w:iCs w:val="0"/>
                <w:color w:val="auto"/>
                <w:kern w:val="0"/>
                <w:sz w:val="24"/>
                <w:szCs w:val="24"/>
                <w:highlight w:val="none"/>
                <w:u w:val="none"/>
                <w:lang w:val="en-US" w:eastAsia="zh-CN" w:bidi="ar"/>
              </w:rPr>
              <w:t>环境条件</w:t>
            </w:r>
          </w:p>
        </w:tc>
        <w:tc>
          <w:tcPr>
            <w:tcW w:w="4651" w:type="dxa"/>
          </w:tcPr>
          <w:p w14:paraId="2292033B">
            <w:pPr>
              <w:keepNext w:val="0"/>
              <w:keepLines w:val="0"/>
              <w:pageBreakBefore w:val="0"/>
              <w:widowControl/>
              <w:suppressLineNumbers w:val="0"/>
              <w:kinsoku/>
              <w:wordWrap/>
              <w:overflowPunct/>
              <w:topLinePunct w:val="0"/>
              <w:autoSpaceDE/>
              <w:autoSpaceDN/>
              <w:bidi w:val="0"/>
              <w:adjustRightInd/>
              <w:snapToGrid/>
              <w:ind w:left="0" w:leftChars="0" w:firstLine="0" w:firstLineChars="0"/>
              <w:jc w:val="center"/>
              <w:textAlignment w:val="bottom"/>
              <w:rPr>
                <w:rFonts w:hint="eastAsia" w:ascii="仿宋" w:hAnsi="仿宋" w:eastAsia="仿宋" w:cs="仿宋"/>
                <w:i w:val="0"/>
                <w:iCs w:val="0"/>
                <w:color w:val="auto"/>
                <w:kern w:val="0"/>
                <w:sz w:val="24"/>
                <w:szCs w:val="24"/>
                <w:highlight w:val="none"/>
                <w:u w:val="none"/>
                <w:lang w:val="en-US" w:eastAsia="zh-CN" w:bidi="ar"/>
              </w:rPr>
            </w:pPr>
            <w:r>
              <w:rPr>
                <w:rFonts w:hint="eastAsia" w:ascii="仿宋" w:hAnsi="仿宋" w:eastAsia="仿宋" w:cs="仿宋"/>
                <w:i w:val="0"/>
                <w:iCs w:val="0"/>
                <w:color w:val="auto"/>
                <w:kern w:val="0"/>
                <w:sz w:val="24"/>
                <w:szCs w:val="24"/>
                <w:highlight w:val="none"/>
                <w:u w:val="none"/>
                <w:lang w:val="en-US" w:eastAsia="zh-CN" w:bidi="ar"/>
              </w:rPr>
              <w:t>气候、排水状况</w:t>
            </w:r>
          </w:p>
        </w:tc>
      </w:tr>
      <w:tr w14:paraId="79DB4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5" w:hRule="atLeast"/>
          <w:jc w:val="center"/>
        </w:trPr>
        <w:tc>
          <w:tcPr>
            <w:tcW w:w="1422" w:type="dxa"/>
          </w:tcPr>
          <w:p w14:paraId="45002910">
            <w:pPr>
              <w:keepNext w:val="0"/>
              <w:keepLines w:val="0"/>
              <w:pageBreakBefore w:val="0"/>
              <w:widowControl/>
              <w:suppressLineNumbers w:val="0"/>
              <w:kinsoku/>
              <w:wordWrap/>
              <w:overflowPunct/>
              <w:topLinePunct w:val="0"/>
              <w:autoSpaceDE/>
              <w:autoSpaceDN/>
              <w:bidi w:val="0"/>
              <w:adjustRightInd/>
              <w:snapToGrid/>
              <w:ind w:left="0" w:leftChars="0" w:firstLine="0" w:firstLineChars="0"/>
              <w:jc w:val="center"/>
              <w:textAlignment w:val="bottom"/>
              <w:rPr>
                <w:rFonts w:hint="eastAsia" w:ascii="仿宋" w:hAnsi="仿宋" w:eastAsia="仿宋" w:cs="仿宋"/>
                <w:i w:val="0"/>
                <w:iCs w:val="0"/>
                <w:color w:val="auto"/>
                <w:kern w:val="0"/>
                <w:sz w:val="24"/>
                <w:szCs w:val="24"/>
                <w:highlight w:val="none"/>
                <w:u w:val="none"/>
                <w:lang w:val="en-US" w:eastAsia="zh-CN" w:bidi="ar"/>
              </w:rPr>
            </w:pPr>
            <w:r>
              <w:rPr>
                <w:rFonts w:hint="eastAsia" w:ascii="仿宋" w:hAnsi="仿宋" w:eastAsia="仿宋" w:cs="仿宋"/>
                <w:i w:val="0"/>
                <w:iCs w:val="0"/>
                <w:color w:val="auto"/>
                <w:kern w:val="0"/>
                <w:sz w:val="24"/>
                <w:szCs w:val="24"/>
                <w:highlight w:val="none"/>
                <w:u w:val="none"/>
                <w:lang w:val="en-US" w:eastAsia="zh-CN" w:bidi="ar"/>
              </w:rPr>
              <w:t>3</w:t>
            </w:r>
          </w:p>
        </w:tc>
        <w:tc>
          <w:tcPr>
            <w:tcW w:w="3765" w:type="dxa"/>
          </w:tcPr>
          <w:p w14:paraId="26065714">
            <w:pPr>
              <w:keepNext w:val="0"/>
              <w:keepLines w:val="0"/>
              <w:pageBreakBefore w:val="0"/>
              <w:widowControl/>
              <w:suppressLineNumbers w:val="0"/>
              <w:kinsoku/>
              <w:wordWrap/>
              <w:overflowPunct/>
              <w:topLinePunct w:val="0"/>
              <w:autoSpaceDE/>
              <w:autoSpaceDN/>
              <w:bidi w:val="0"/>
              <w:adjustRightInd/>
              <w:snapToGrid/>
              <w:ind w:left="0" w:leftChars="0" w:firstLine="0" w:firstLineChars="0"/>
              <w:jc w:val="center"/>
              <w:textAlignment w:val="bottom"/>
              <w:rPr>
                <w:rFonts w:hint="eastAsia" w:ascii="仿宋" w:hAnsi="仿宋" w:eastAsia="仿宋" w:cs="仿宋"/>
                <w:i w:val="0"/>
                <w:iCs w:val="0"/>
                <w:color w:val="auto"/>
                <w:kern w:val="0"/>
                <w:sz w:val="24"/>
                <w:szCs w:val="24"/>
                <w:highlight w:val="none"/>
                <w:u w:val="none"/>
                <w:lang w:val="en-US" w:eastAsia="zh-CN" w:bidi="ar"/>
              </w:rPr>
            </w:pPr>
            <w:r>
              <w:rPr>
                <w:rFonts w:hint="eastAsia" w:ascii="仿宋" w:hAnsi="仿宋" w:eastAsia="仿宋" w:cs="仿宋"/>
                <w:i w:val="0"/>
                <w:iCs w:val="0"/>
                <w:color w:val="auto"/>
                <w:kern w:val="0"/>
                <w:sz w:val="24"/>
                <w:szCs w:val="24"/>
                <w:highlight w:val="none"/>
                <w:u w:val="none"/>
                <w:lang w:val="en-US" w:eastAsia="zh-CN" w:bidi="ar"/>
              </w:rPr>
              <w:t>路基及结构物情况</w:t>
            </w:r>
          </w:p>
        </w:tc>
        <w:tc>
          <w:tcPr>
            <w:tcW w:w="4651" w:type="dxa"/>
          </w:tcPr>
          <w:p w14:paraId="21384E2C">
            <w:pPr>
              <w:keepNext w:val="0"/>
              <w:keepLines w:val="0"/>
              <w:pageBreakBefore w:val="0"/>
              <w:widowControl/>
              <w:suppressLineNumbers w:val="0"/>
              <w:kinsoku/>
              <w:wordWrap/>
              <w:overflowPunct/>
              <w:topLinePunct w:val="0"/>
              <w:autoSpaceDE/>
              <w:autoSpaceDN/>
              <w:bidi w:val="0"/>
              <w:adjustRightInd/>
              <w:snapToGrid/>
              <w:ind w:left="0" w:leftChars="0" w:firstLine="0" w:firstLineChars="0"/>
              <w:jc w:val="center"/>
              <w:textAlignment w:val="bottom"/>
              <w:rPr>
                <w:rFonts w:hint="eastAsia" w:ascii="仿宋" w:hAnsi="仿宋" w:eastAsia="仿宋" w:cs="仿宋"/>
                <w:i w:val="0"/>
                <w:iCs w:val="0"/>
                <w:color w:val="auto"/>
                <w:kern w:val="0"/>
                <w:sz w:val="24"/>
                <w:szCs w:val="24"/>
                <w:highlight w:val="none"/>
                <w:u w:val="none"/>
                <w:lang w:val="en-US" w:eastAsia="zh-CN" w:bidi="ar"/>
              </w:rPr>
            </w:pPr>
            <w:r>
              <w:rPr>
                <w:rFonts w:hint="eastAsia" w:ascii="仿宋" w:hAnsi="仿宋" w:eastAsia="仿宋" w:cs="仿宋"/>
                <w:i w:val="0"/>
                <w:iCs w:val="0"/>
                <w:color w:val="auto"/>
                <w:kern w:val="0"/>
                <w:sz w:val="24"/>
                <w:szCs w:val="24"/>
                <w:highlight w:val="none"/>
                <w:u w:val="none"/>
                <w:lang w:val="en-US" w:eastAsia="zh-CN" w:bidi="ar"/>
              </w:rPr>
              <w:t>主要调查路口及路基破坏</w:t>
            </w:r>
          </w:p>
        </w:tc>
      </w:tr>
    </w:tbl>
    <w:p w14:paraId="38006A67">
      <w:pPr>
        <w:keepNext/>
        <w:keepLines/>
        <w:pageBreakBefore w:val="0"/>
        <w:widowControl w:val="0"/>
        <w:numPr>
          <w:ilvl w:val="1"/>
          <w:numId w:val="12"/>
        </w:numPr>
        <w:kinsoku/>
        <w:wordWrap/>
        <w:overflowPunct/>
        <w:topLinePunct w:val="0"/>
        <w:autoSpaceDE/>
        <w:autoSpaceDN/>
        <w:bidi w:val="0"/>
        <w:adjustRightInd/>
        <w:snapToGrid/>
        <w:spacing w:line="360" w:lineRule="auto"/>
        <w:ind w:firstLineChars="0"/>
        <w:textAlignment w:val="auto"/>
        <w:outlineLvl w:val="1"/>
        <w:rPr>
          <w:rFonts w:hint="eastAsia" w:ascii="仿宋" w:hAnsi="仿宋" w:eastAsia="仿宋" w:cs="仿宋"/>
          <w:b/>
          <w:bCs/>
          <w:color w:val="auto"/>
          <w:sz w:val="28"/>
          <w:szCs w:val="28"/>
          <w:highlight w:val="none"/>
          <w:lang w:val="en-US" w:eastAsia="zh-CN"/>
        </w:rPr>
      </w:pPr>
      <w:bookmarkStart w:id="51" w:name="_Toc1270"/>
      <w:r>
        <w:rPr>
          <w:rFonts w:hint="eastAsia" w:ascii="仿宋" w:hAnsi="仿宋" w:eastAsia="仿宋" w:cs="仿宋"/>
          <w:b/>
          <w:bCs/>
          <w:color w:val="auto"/>
          <w:sz w:val="28"/>
          <w:szCs w:val="28"/>
          <w:highlight w:val="none"/>
          <w:lang w:val="en-US" w:eastAsia="zh-CN"/>
        </w:rPr>
        <w:t>建筑限界</w:t>
      </w:r>
    </w:p>
    <w:tbl>
      <w:tblPr>
        <w:tblStyle w:val="88"/>
        <w:tblW w:w="979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625"/>
        <w:gridCol w:w="2178"/>
        <w:gridCol w:w="2293"/>
        <w:gridCol w:w="3702"/>
      </w:tblGrid>
      <w:tr w14:paraId="71C157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0" w:hRule="atLeast"/>
          <w:jc w:val="center"/>
        </w:trPr>
        <w:tc>
          <w:tcPr>
            <w:tcW w:w="162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52EEAA0">
            <w:pPr>
              <w:keepNext w:val="0"/>
              <w:keepLines w:val="0"/>
              <w:pageBreakBefore w:val="0"/>
              <w:widowControl/>
              <w:suppressLineNumbers w:val="0"/>
              <w:kinsoku/>
              <w:wordWrap/>
              <w:overflowPunct/>
              <w:topLinePunct w:val="0"/>
              <w:autoSpaceDE/>
              <w:autoSpaceDN/>
              <w:bidi w:val="0"/>
              <w:adjustRightInd/>
              <w:snapToGrid/>
              <w:ind w:left="0" w:leftChars="0" w:firstLine="0" w:firstLineChars="0"/>
              <w:jc w:val="center"/>
              <w:textAlignment w:val="bottom"/>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道路种类</w:t>
            </w:r>
          </w:p>
        </w:tc>
        <w:tc>
          <w:tcPr>
            <w:tcW w:w="2178"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253EF64">
            <w:pPr>
              <w:keepNext w:val="0"/>
              <w:keepLines w:val="0"/>
              <w:pageBreakBefore w:val="0"/>
              <w:widowControl/>
              <w:suppressLineNumbers w:val="0"/>
              <w:kinsoku/>
              <w:wordWrap/>
              <w:overflowPunct/>
              <w:topLinePunct w:val="0"/>
              <w:autoSpaceDE/>
              <w:autoSpaceDN/>
              <w:bidi w:val="0"/>
              <w:adjustRightInd/>
              <w:snapToGrid/>
              <w:ind w:left="0" w:leftChars="0" w:firstLine="0" w:firstLineChars="0"/>
              <w:jc w:val="center"/>
              <w:textAlignment w:val="bottom"/>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行驶车辆类型</w:t>
            </w:r>
          </w:p>
        </w:tc>
        <w:tc>
          <w:tcPr>
            <w:tcW w:w="2293"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D2D90B8">
            <w:pPr>
              <w:keepNext w:val="0"/>
              <w:keepLines w:val="0"/>
              <w:pageBreakBefore w:val="0"/>
              <w:widowControl/>
              <w:suppressLineNumbers w:val="0"/>
              <w:kinsoku/>
              <w:wordWrap/>
              <w:overflowPunct/>
              <w:topLinePunct w:val="0"/>
              <w:autoSpaceDE/>
              <w:autoSpaceDN/>
              <w:bidi w:val="0"/>
              <w:adjustRightInd/>
              <w:snapToGrid/>
              <w:ind w:left="0" w:leftChars="0" w:firstLine="0" w:firstLineChars="0"/>
              <w:jc w:val="center"/>
              <w:textAlignment w:val="bottom"/>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最小净高（m）</w:t>
            </w:r>
          </w:p>
        </w:tc>
        <w:tc>
          <w:tcPr>
            <w:tcW w:w="3702"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BB70120">
            <w:pPr>
              <w:keepNext w:val="0"/>
              <w:keepLines w:val="0"/>
              <w:pageBreakBefore w:val="0"/>
              <w:widowControl/>
              <w:suppressLineNumbers w:val="0"/>
              <w:kinsoku/>
              <w:wordWrap/>
              <w:overflowPunct/>
              <w:topLinePunct w:val="0"/>
              <w:autoSpaceDE/>
              <w:autoSpaceDN/>
              <w:bidi w:val="0"/>
              <w:adjustRightInd/>
              <w:snapToGrid/>
              <w:ind w:left="0" w:leftChars="0" w:firstLine="0" w:firstLineChars="0"/>
              <w:jc w:val="center"/>
              <w:textAlignment w:val="bottom"/>
              <w:rPr>
                <w:rFonts w:hint="eastAsia" w:ascii="仿宋" w:hAnsi="仿宋" w:eastAsia="仿宋" w:cs="仿宋"/>
                <w:i w:val="0"/>
                <w:iCs w:val="0"/>
                <w:color w:val="auto"/>
                <w:kern w:val="0"/>
                <w:sz w:val="24"/>
                <w:szCs w:val="24"/>
                <w:highlight w:val="none"/>
                <w:u w:val="none"/>
                <w:lang w:val="en-US" w:eastAsia="zh-CN" w:bidi="ar"/>
              </w:rPr>
            </w:pPr>
            <w:r>
              <w:rPr>
                <w:rFonts w:hint="eastAsia" w:ascii="仿宋" w:hAnsi="仿宋" w:eastAsia="仿宋" w:cs="仿宋"/>
                <w:i w:val="0"/>
                <w:iCs w:val="0"/>
                <w:color w:val="auto"/>
                <w:kern w:val="0"/>
                <w:sz w:val="24"/>
                <w:szCs w:val="24"/>
                <w:highlight w:val="none"/>
                <w:u w:val="none"/>
                <w:lang w:val="en-US" w:eastAsia="zh-CN" w:bidi="ar"/>
              </w:rPr>
              <w:t>宽度（m）</w:t>
            </w:r>
          </w:p>
        </w:tc>
      </w:tr>
      <w:tr w14:paraId="70EEBF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0" w:hRule="atLeast"/>
          <w:jc w:val="center"/>
        </w:trPr>
        <w:tc>
          <w:tcPr>
            <w:tcW w:w="16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9B72D">
            <w:pPr>
              <w:keepNext w:val="0"/>
              <w:keepLines w:val="0"/>
              <w:pageBreakBefore w:val="0"/>
              <w:widowControl/>
              <w:suppressLineNumbers w:val="0"/>
              <w:kinsoku/>
              <w:wordWrap/>
              <w:overflowPunct/>
              <w:topLinePunct w:val="0"/>
              <w:autoSpaceDE/>
              <w:autoSpaceDN/>
              <w:bidi w:val="0"/>
              <w:adjustRightInd/>
              <w:snapToGrid/>
              <w:ind w:left="0" w:leftChars="0" w:firstLine="0" w:firstLineChars="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机动车道</w:t>
            </w:r>
          </w:p>
        </w:tc>
        <w:tc>
          <w:tcPr>
            <w:tcW w:w="2178"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C6B8962">
            <w:pPr>
              <w:keepNext w:val="0"/>
              <w:keepLines w:val="0"/>
              <w:pageBreakBefore w:val="0"/>
              <w:widowControl/>
              <w:suppressLineNumbers w:val="0"/>
              <w:kinsoku/>
              <w:wordWrap/>
              <w:overflowPunct/>
              <w:topLinePunct w:val="0"/>
              <w:autoSpaceDE/>
              <w:autoSpaceDN/>
              <w:bidi w:val="0"/>
              <w:adjustRightInd/>
              <w:snapToGrid/>
              <w:ind w:left="0" w:leftChars="0" w:firstLine="0" w:firstLineChars="0"/>
              <w:jc w:val="center"/>
              <w:textAlignment w:val="bottom"/>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各种机动车</w:t>
            </w:r>
          </w:p>
        </w:tc>
        <w:tc>
          <w:tcPr>
            <w:tcW w:w="2293"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6C05C93">
            <w:pPr>
              <w:keepNext w:val="0"/>
              <w:keepLines w:val="0"/>
              <w:pageBreakBefore w:val="0"/>
              <w:widowControl/>
              <w:suppressLineNumbers w:val="0"/>
              <w:kinsoku/>
              <w:wordWrap/>
              <w:overflowPunct/>
              <w:topLinePunct w:val="0"/>
              <w:autoSpaceDE/>
              <w:autoSpaceDN/>
              <w:bidi w:val="0"/>
              <w:adjustRightInd/>
              <w:snapToGrid/>
              <w:ind w:left="0" w:leftChars="0" w:firstLine="0" w:firstLineChars="0"/>
              <w:jc w:val="center"/>
              <w:textAlignment w:val="bottom"/>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4.5</w:t>
            </w:r>
          </w:p>
        </w:tc>
        <w:tc>
          <w:tcPr>
            <w:tcW w:w="3702"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2FDB750">
            <w:pPr>
              <w:keepNext w:val="0"/>
              <w:keepLines w:val="0"/>
              <w:pageBreakBefore w:val="0"/>
              <w:widowControl/>
              <w:suppressLineNumbers w:val="0"/>
              <w:kinsoku/>
              <w:wordWrap/>
              <w:overflowPunct/>
              <w:topLinePunct w:val="0"/>
              <w:autoSpaceDE/>
              <w:autoSpaceDN/>
              <w:bidi w:val="0"/>
              <w:adjustRightInd/>
              <w:snapToGrid/>
              <w:ind w:left="0" w:leftChars="0" w:firstLine="0" w:firstLineChars="0"/>
              <w:jc w:val="center"/>
              <w:textAlignment w:val="bottom"/>
              <w:rPr>
                <w:rFonts w:hint="eastAsia" w:ascii="仿宋" w:hAnsi="仿宋" w:eastAsia="仿宋" w:cs="仿宋"/>
                <w:i w:val="0"/>
                <w:iCs w:val="0"/>
                <w:color w:val="auto"/>
                <w:kern w:val="0"/>
                <w:sz w:val="24"/>
                <w:szCs w:val="24"/>
                <w:highlight w:val="none"/>
                <w:u w:val="none"/>
                <w:lang w:val="en-US" w:eastAsia="zh-CN" w:bidi="ar"/>
              </w:rPr>
            </w:pPr>
            <w:r>
              <w:rPr>
                <w:rFonts w:hint="eastAsia" w:ascii="仿宋" w:hAnsi="仿宋" w:eastAsia="仿宋" w:cs="仿宋"/>
                <w:i w:val="0"/>
                <w:iCs w:val="0"/>
                <w:color w:val="auto"/>
                <w:kern w:val="0"/>
                <w:sz w:val="24"/>
                <w:szCs w:val="24"/>
                <w:highlight w:val="none"/>
                <w:u w:val="none"/>
                <w:lang w:val="en-US" w:eastAsia="zh-CN" w:bidi="ar"/>
              </w:rPr>
              <w:t>车道宽度+侧向净宽（0.5）</w:t>
            </w:r>
          </w:p>
        </w:tc>
      </w:tr>
      <w:tr w14:paraId="295717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7" w:hRule="atLeast"/>
          <w:jc w:val="center"/>
        </w:trPr>
        <w:tc>
          <w:tcPr>
            <w:tcW w:w="162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0C56C2F">
            <w:pPr>
              <w:keepNext w:val="0"/>
              <w:keepLines w:val="0"/>
              <w:pageBreakBefore w:val="0"/>
              <w:widowControl/>
              <w:suppressLineNumbers w:val="0"/>
              <w:kinsoku/>
              <w:wordWrap/>
              <w:overflowPunct/>
              <w:topLinePunct w:val="0"/>
              <w:autoSpaceDE/>
              <w:autoSpaceDN/>
              <w:bidi w:val="0"/>
              <w:adjustRightInd/>
              <w:snapToGrid/>
              <w:ind w:left="0" w:leftChars="0" w:firstLine="0" w:firstLineChars="0"/>
              <w:jc w:val="center"/>
              <w:textAlignment w:val="bottom"/>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人行道</w:t>
            </w:r>
          </w:p>
        </w:tc>
        <w:tc>
          <w:tcPr>
            <w:tcW w:w="2178"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1E7BA6D">
            <w:pPr>
              <w:keepNext w:val="0"/>
              <w:keepLines w:val="0"/>
              <w:pageBreakBefore w:val="0"/>
              <w:widowControl/>
              <w:suppressLineNumbers w:val="0"/>
              <w:kinsoku/>
              <w:wordWrap/>
              <w:overflowPunct/>
              <w:topLinePunct w:val="0"/>
              <w:autoSpaceDE/>
              <w:autoSpaceDN/>
              <w:bidi w:val="0"/>
              <w:adjustRightInd/>
              <w:snapToGrid/>
              <w:jc w:val="center"/>
              <w:textAlignment w:val="bottom"/>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行人</w:t>
            </w:r>
          </w:p>
        </w:tc>
        <w:tc>
          <w:tcPr>
            <w:tcW w:w="2293"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42FA51C">
            <w:pPr>
              <w:keepNext w:val="0"/>
              <w:keepLines w:val="0"/>
              <w:pageBreakBefore w:val="0"/>
              <w:widowControl/>
              <w:suppressLineNumbers w:val="0"/>
              <w:kinsoku/>
              <w:wordWrap/>
              <w:overflowPunct/>
              <w:topLinePunct w:val="0"/>
              <w:autoSpaceDE/>
              <w:autoSpaceDN/>
              <w:bidi w:val="0"/>
              <w:adjustRightInd/>
              <w:snapToGrid/>
              <w:ind w:left="0" w:leftChars="0" w:firstLine="0" w:firstLineChars="0"/>
              <w:jc w:val="center"/>
              <w:textAlignment w:val="bottom"/>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2.5</w:t>
            </w:r>
          </w:p>
        </w:tc>
        <w:tc>
          <w:tcPr>
            <w:tcW w:w="3702"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306CC31">
            <w:pPr>
              <w:keepNext w:val="0"/>
              <w:keepLines w:val="0"/>
              <w:pageBreakBefore w:val="0"/>
              <w:widowControl/>
              <w:suppressLineNumbers w:val="0"/>
              <w:kinsoku/>
              <w:wordWrap/>
              <w:overflowPunct/>
              <w:topLinePunct w:val="0"/>
              <w:autoSpaceDE/>
              <w:autoSpaceDN/>
              <w:bidi w:val="0"/>
              <w:adjustRightInd/>
              <w:snapToGrid/>
              <w:ind w:left="0" w:leftChars="0" w:firstLine="0" w:firstLineChars="0"/>
              <w:jc w:val="center"/>
              <w:textAlignment w:val="bottom"/>
              <w:rPr>
                <w:rFonts w:hint="eastAsia" w:ascii="仿宋" w:hAnsi="仿宋" w:eastAsia="仿宋" w:cs="仿宋"/>
                <w:i w:val="0"/>
                <w:iCs w:val="0"/>
                <w:color w:val="auto"/>
                <w:kern w:val="0"/>
                <w:sz w:val="24"/>
                <w:szCs w:val="24"/>
                <w:highlight w:val="none"/>
                <w:u w:val="none"/>
                <w:lang w:val="en-US" w:eastAsia="zh-CN" w:bidi="ar"/>
              </w:rPr>
            </w:pPr>
            <w:r>
              <w:rPr>
                <w:rFonts w:hint="eastAsia" w:ascii="仿宋" w:hAnsi="仿宋" w:eastAsia="仿宋" w:cs="仿宋"/>
                <w:i w:val="0"/>
                <w:iCs w:val="0"/>
                <w:color w:val="auto"/>
                <w:kern w:val="0"/>
                <w:sz w:val="24"/>
                <w:szCs w:val="24"/>
                <w:highlight w:val="none"/>
                <w:u w:val="none"/>
                <w:lang w:val="en-US" w:eastAsia="zh-CN" w:bidi="ar"/>
              </w:rPr>
              <w:t>/</w:t>
            </w:r>
          </w:p>
        </w:tc>
      </w:tr>
    </w:tbl>
    <w:p w14:paraId="0DCA2438">
      <w:pPr>
        <w:pageBreakBefore w:val="0"/>
        <w:widowControl w:val="0"/>
        <w:kinsoku/>
        <w:wordWrap/>
        <w:overflowPunct/>
        <w:topLinePunct w:val="0"/>
        <w:autoSpaceDE/>
        <w:autoSpaceDN/>
        <w:bidi w:val="0"/>
        <w:adjustRightInd/>
        <w:snapToGrid/>
        <w:textAlignment w:val="auto"/>
        <w:outlineLvl w:val="9"/>
        <w:rPr>
          <w:rFonts w:hint="eastAsia" w:ascii="仿宋" w:hAnsi="仿宋" w:eastAsia="仿宋" w:cs="仿宋"/>
          <w:b w:val="0"/>
          <w:color w:val="auto"/>
          <w:kern w:val="2"/>
          <w:sz w:val="24"/>
          <w:szCs w:val="24"/>
          <w:highlight w:val="none"/>
          <w:lang w:val="en-US" w:eastAsia="zh-CN" w:bidi="ar-SA"/>
        </w:rPr>
      </w:pPr>
      <w:r>
        <w:rPr>
          <w:rFonts w:hint="eastAsia" w:ascii="仿宋" w:hAnsi="仿宋" w:eastAsia="仿宋" w:cs="仿宋"/>
          <w:b w:val="0"/>
          <w:color w:val="auto"/>
          <w:kern w:val="2"/>
          <w:sz w:val="24"/>
          <w:szCs w:val="24"/>
          <w:highlight w:val="none"/>
          <w:lang w:val="en-US" w:eastAsia="zh-CN" w:bidi="ar-SA"/>
        </w:rPr>
        <w:t>道路建筑限界内不得有任何物体侵入。</w:t>
      </w:r>
    </w:p>
    <w:p w14:paraId="7474EAEA">
      <w:pPr>
        <w:keepNext/>
        <w:keepLines/>
        <w:pageBreakBefore w:val="0"/>
        <w:widowControl w:val="0"/>
        <w:numPr>
          <w:ilvl w:val="0"/>
          <w:numId w:val="12"/>
        </w:numPr>
        <w:kinsoku/>
        <w:wordWrap/>
        <w:overflowPunct/>
        <w:topLinePunct w:val="0"/>
        <w:autoSpaceDE/>
        <w:autoSpaceDN/>
        <w:bidi w:val="0"/>
        <w:adjustRightInd/>
        <w:snapToGrid/>
        <w:ind w:left="0" w:leftChars="0" w:firstLine="0" w:firstLineChars="0"/>
        <w:jc w:val="left"/>
        <w:textAlignment w:val="auto"/>
        <w:outlineLvl w:val="0"/>
        <w:rPr>
          <w:rFonts w:hint="eastAsia" w:ascii="仿宋" w:hAnsi="仿宋" w:eastAsia="仿宋" w:cs="仿宋"/>
          <w:b/>
          <w:bCs/>
          <w:color w:val="auto"/>
          <w:sz w:val="28"/>
          <w:szCs w:val="28"/>
          <w:highlight w:val="none"/>
          <w:lang w:val="en-US" w:eastAsia="zh-CN"/>
        </w:rPr>
      </w:pPr>
      <w:r>
        <w:rPr>
          <w:rFonts w:hint="eastAsia" w:ascii="仿宋" w:hAnsi="仿宋" w:eastAsia="仿宋" w:cs="仿宋"/>
          <w:b/>
          <w:bCs/>
          <w:color w:val="auto"/>
          <w:sz w:val="28"/>
          <w:szCs w:val="28"/>
          <w:highlight w:val="none"/>
          <w:lang w:val="en-US" w:eastAsia="zh-CN"/>
        </w:rPr>
        <w:t>道路现状</w:t>
      </w:r>
      <w:bookmarkEnd w:id="51"/>
      <w:r>
        <w:rPr>
          <w:rFonts w:hint="eastAsia" w:ascii="仿宋" w:hAnsi="仿宋" w:eastAsia="仿宋" w:cs="仿宋"/>
          <w:b/>
          <w:bCs/>
          <w:color w:val="auto"/>
          <w:sz w:val="28"/>
          <w:szCs w:val="28"/>
          <w:highlight w:val="none"/>
          <w:lang w:val="en-US" w:eastAsia="zh-CN"/>
        </w:rPr>
        <w:t>调查</w:t>
      </w:r>
    </w:p>
    <w:p w14:paraId="632A8108">
      <w:pPr>
        <w:keepNext/>
        <w:keepLines/>
        <w:pageBreakBefore w:val="0"/>
        <w:widowControl w:val="0"/>
        <w:numPr>
          <w:ilvl w:val="0"/>
          <w:numId w:val="0"/>
        </w:numPr>
        <w:kinsoku/>
        <w:wordWrap/>
        <w:overflowPunct/>
        <w:topLinePunct w:val="0"/>
        <w:autoSpaceDE/>
        <w:autoSpaceDN/>
        <w:bidi w:val="0"/>
        <w:adjustRightInd/>
        <w:snapToGrid/>
        <w:spacing w:line="360" w:lineRule="auto"/>
        <w:ind w:leftChars="0"/>
        <w:jc w:val="left"/>
        <w:textAlignment w:val="auto"/>
        <w:outlineLvl w:val="1"/>
        <w:rPr>
          <w:rFonts w:hint="eastAsia" w:ascii="仿宋" w:hAnsi="仿宋" w:eastAsia="仿宋" w:cs="仿宋"/>
          <w:b/>
          <w:bCs/>
          <w:color w:val="auto"/>
          <w:sz w:val="28"/>
          <w:szCs w:val="28"/>
          <w:highlight w:val="none"/>
          <w:lang w:val="en-US" w:eastAsia="zh-CN"/>
        </w:rPr>
      </w:pPr>
      <w:r>
        <w:rPr>
          <w:rFonts w:hint="eastAsia" w:ascii="仿宋" w:hAnsi="仿宋" w:eastAsia="仿宋" w:cs="仿宋"/>
          <w:b/>
          <w:bCs/>
          <w:color w:val="auto"/>
          <w:sz w:val="28"/>
          <w:szCs w:val="28"/>
          <w:highlight w:val="none"/>
          <w:lang w:val="en-US" w:eastAsia="zh-CN"/>
        </w:rPr>
        <w:t>4.1 现状路幅分配</w:t>
      </w:r>
    </w:p>
    <w:p w14:paraId="6F5E13BF">
      <w:pPr>
        <w:keepNext w:val="0"/>
        <w:keepLines w:val="0"/>
        <w:pageBreakBefore w:val="0"/>
        <w:widowControl w:val="0"/>
        <w:kinsoku/>
        <w:wordWrap/>
        <w:overflowPunct/>
        <w:topLinePunct w:val="0"/>
        <w:autoSpaceDE/>
        <w:autoSpaceDN/>
        <w:bidi w:val="0"/>
        <w:adjustRightInd/>
        <w:snapToGrid/>
        <w:ind w:left="0" w:leftChars="0" w:firstLine="480" w:firstLineChars="200"/>
        <w:jc w:val="left"/>
        <w:textAlignment w:val="auto"/>
        <w:outlineLvl w:val="9"/>
        <w:rPr>
          <w:rFonts w:hint="eastAsia" w:ascii="仿宋" w:hAnsi="仿宋" w:eastAsia="仿宋" w:cs="仿宋"/>
          <w:b w:val="0"/>
          <w:color w:val="auto"/>
          <w:kern w:val="2"/>
          <w:sz w:val="24"/>
          <w:szCs w:val="24"/>
          <w:highlight w:val="none"/>
          <w:lang w:val="en-US" w:eastAsia="zh-CN" w:bidi="ar-SA"/>
        </w:rPr>
      </w:pPr>
      <w:r>
        <w:rPr>
          <w:rFonts w:hint="eastAsia" w:ascii="仿宋" w:hAnsi="仿宋" w:eastAsia="仿宋" w:cs="仿宋"/>
          <w:b w:val="0"/>
          <w:color w:val="auto"/>
          <w:kern w:val="2"/>
          <w:sz w:val="24"/>
          <w:szCs w:val="24"/>
          <w:highlight w:val="none"/>
          <w:lang w:val="en-US" w:eastAsia="zh-CN" w:bidi="ar-SA"/>
        </w:rPr>
        <w:t>现状广茂大道等级为城市主干路，标准路幅宽度36m，双向6车道。具体如下：</w:t>
      </w:r>
    </w:p>
    <w:p w14:paraId="392CEE13">
      <w:pPr>
        <w:keepNext w:val="0"/>
        <w:keepLines w:val="0"/>
        <w:pageBreakBefore w:val="0"/>
        <w:widowControl w:val="0"/>
        <w:kinsoku/>
        <w:wordWrap/>
        <w:overflowPunct/>
        <w:topLinePunct w:val="0"/>
        <w:autoSpaceDE/>
        <w:autoSpaceDN/>
        <w:bidi w:val="0"/>
        <w:adjustRightInd/>
        <w:snapToGrid/>
        <w:ind w:left="0" w:leftChars="0" w:firstLine="480" w:firstLineChars="200"/>
        <w:jc w:val="left"/>
        <w:textAlignment w:val="auto"/>
        <w:outlineLvl w:val="9"/>
        <w:rPr>
          <w:rFonts w:hint="default" w:ascii="仿宋" w:hAnsi="仿宋" w:eastAsia="仿宋" w:cs="仿宋"/>
          <w:b w:val="0"/>
          <w:color w:val="auto"/>
          <w:kern w:val="2"/>
          <w:sz w:val="24"/>
          <w:szCs w:val="24"/>
          <w:highlight w:val="none"/>
          <w:lang w:val="en-US" w:eastAsia="zh-CN" w:bidi="ar-SA"/>
        </w:rPr>
      </w:pPr>
      <w:r>
        <w:rPr>
          <w:rFonts w:hint="eastAsia" w:ascii="仿宋" w:hAnsi="仿宋" w:eastAsia="仿宋" w:cs="仿宋"/>
          <w:b w:val="0"/>
          <w:color w:val="auto"/>
          <w:kern w:val="2"/>
          <w:sz w:val="24"/>
          <w:szCs w:val="24"/>
          <w:highlight w:val="none"/>
          <w:lang w:val="en-US" w:eastAsia="zh-CN" w:bidi="ar-SA"/>
        </w:rPr>
        <w:t>36m=5m（人行道）+12m（车行道）+2m（中央绿化带）+12m（车行道）+5m（人行道）</w:t>
      </w:r>
    </w:p>
    <w:p w14:paraId="31330793">
      <w:pPr>
        <w:keepNext/>
        <w:keepLines/>
        <w:pageBreakBefore w:val="0"/>
        <w:widowControl w:val="0"/>
        <w:numPr>
          <w:ilvl w:val="0"/>
          <w:numId w:val="0"/>
        </w:numPr>
        <w:kinsoku/>
        <w:wordWrap/>
        <w:overflowPunct/>
        <w:topLinePunct w:val="0"/>
        <w:autoSpaceDE/>
        <w:autoSpaceDN/>
        <w:bidi w:val="0"/>
        <w:adjustRightInd/>
        <w:snapToGrid/>
        <w:spacing w:line="360" w:lineRule="auto"/>
        <w:ind w:leftChars="0"/>
        <w:jc w:val="left"/>
        <w:textAlignment w:val="auto"/>
        <w:outlineLvl w:val="1"/>
        <w:rPr>
          <w:rFonts w:hint="eastAsia" w:ascii="仿宋" w:hAnsi="仿宋" w:eastAsia="仿宋" w:cs="仿宋"/>
          <w:b/>
          <w:bCs/>
          <w:color w:val="auto"/>
          <w:sz w:val="28"/>
          <w:szCs w:val="28"/>
          <w:highlight w:val="none"/>
          <w:lang w:val="en-US" w:eastAsia="zh-CN"/>
        </w:rPr>
      </w:pPr>
      <w:bookmarkStart w:id="52" w:name="_Toc25761"/>
      <w:r>
        <w:rPr>
          <w:rFonts w:hint="eastAsia" w:ascii="仿宋" w:hAnsi="仿宋" w:eastAsia="仿宋" w:cs="仿宋"/>
          <w:b/>
          <w:bCs/>
          <w:color w:val="auto"/>
          <w:sz w:val="28"/>
          <w:szCs w:val="28"/>
          <w:highlight w:val="none"/>
          <w:lang w:val="en-US" w:eastAsia="zh-CN"/>
        </w:rPr>
        <w:t>4.2 现状车行道及人行道铺装结构</w:t>
      </w:r>
      <w:bookmarkEnd w:id="52"/>
    </w:p>
    <w:p w14:paraId="0D9EB5F2">
      <w:pPr>
        <w:keepNext/>
        <w:keepLines/>
        <w:pageBreakBefore w:val="0"/>
        <w:widowControl w:val="0"/>
        <w:numPr>
          <w:ilvl w:val="0"/>
          <w:numId w:val="0"/>
        </w:numPr>
        <w:kinsoku/>
        <w:wordWrap/>
        <w:overflowPunct/>
        <w:topLinePunct w:val="0"/>
        <w:autoSpaceDE/>
        <w:autoSpaceDN/>
        <w:bidi w:val="0"/>
        <w:adjustRightInd/>
        <w:snapToGrid/>
        <w:spacing w:line="360" w:lineRule="auto"/>
        <w:ind w:leftChars="0"/>
        <w:jc w:val="left"/>
        <w:textAlignment w:val="auto"/>
        <w:outlineLvl w:val="1"/>
        <w:rPr>
          <w:rFonts w:hint="default" w:ascii="仿宋" w:hAnsi="仿宋" w:eastAsia="仿宋" w:cs="仿宋"/>
          <w:b/>
          <w:bCs/>
          <w:color w:val="auto"/>
          <w:sz w:val="28"/>
          <w:szCs w:val="28"/>
          <w:highlight w:val="none"/>
          <w:lang w:val="en-US" w:eastAsia="zh-CN"/>
        </w:rPr>
      </w:pPr>
      <w:r>
        <w:rPr>
          <w:rFonts w:hint="eastAsia" w:ascii="仿宋" w:hAnsi="仿宋" w:eastAsia="仿宋" w:cs="仿宋"/>
          <w:b/>
          <w:bCs/>
          <w:color w:val="auto"/>
          <w:sz w:val="28"/>
          <w:szCs w:val="28"/>
          <w:highlight w:val="none"/>
          <w:lang w:val="en-US" w:eastAsia="zh-CN"/>
        </w:rPr>
        <w:t>4.2.1现状车行道</w:t>
      </w:r>
    </w:p>
    <w:p w14:paraId="21FD4C93">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现状道路为沥青混凝土路面结构：</w:t>
      </w:r>
    </w:p>
    <w:p w14:paraId="409DA336">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4cm厚沥青玛脂碎石混合料（SMA-13）</w:t>
      </w:r>
    </w:p>
    <w:p w14:paraId="3CC9D734">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6cm厚中粒式沥青混合料（AC-20C）</w:t>
      </w:r>
    </w:p>
    <w:p w14:paraId="0C6D8C64">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8cm厚粗粒式沥青混合料（AC-25C）</w:t>
      </w:r>
    </w:p>
    <w:p w14:paraId="29692C37">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0.7cm厚改性乳化沥青稀浆封层</w:t>
      </w:r>
    </w:p>
    <w:p w14:paraId="41205EF8">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20cm厚水泥稳定级配碎石基层(5.5%)</w:t>
      </w:r>
    </w:p>
    <w:p w14:paraId="4C82CFE3">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20cm厚水泥稳定级配碎石底基层(4％)</w:t>
      </w:r>
    </w:p>
    <w:p w14:paraId="1D2DFEA9">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20cm厚级配碎石垫层</w:t>
      </w:r>
    </w:p>
    <w:p w14:paraId="44873CCC">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密实碾压路基</w:t>
      </w:r>
    </w:p>
    <w:p w14:paraId="4ABE596E">
      <w:pPr>
        <w:keepNext/>
        <w:keepLines/>
        <w:pageBreakBefore w:val="0"/>
        <w:widowControl w:val="0"/>
        <w:numPr>
          <w:ilvl w:val="0"/>
          <w:numId w:val="0"/>
        </w:numPr>
        <w:kinsoku/>
        <w:wordWrap/>
        <w:overflowPunct/>
        <w:topLinePunct w:val="0"/>
        <w:autoSpaceDE/>
        <w:autoSpaceDN/>
        <w:bidi w:val="0"/>
        <w:adjustRightInd/>
        <w:snapToGrid/>
        <w:spacing w:line="360" w:lineRule="auto"/>
        <w:ind w:leftChars="0"/>
        <w:jc w:val="left"/>
        <w:textAlignment w:val="auto"/>
        <w:outlineLvl w:val="1"/>
        <w:rPr>
          <w:rFonts w:hint="eastAsia" w:ascii="仿宋" w:hAnsi="仿宋" w:eastAsia="仿宋" w:cs="仿宋"/>
          <w:b/>
          <w:bCs/>
          <w:color w:val="auto"/>
          <w:sz w:val="28"/>
          <w:szCs w:val="28"/>
          <w:highlight w:val="none"/>
          <w:lang w:val="en-US" w:eastAsia="zh-CN"/>
        </w:rPr>
      </w:pPr>
      <w:r>
        <w:rPr>
          <w:rFonts w:hint="eastAsia" w:ascii="仿宋" w:hAnsi="仿宋" w:eastAsia="仿宋" w:cs="仿宋"/>
          <w:b/>
          <w:bCs/>
          <w:color w:val="auto"/>
          <w:sz w:val="28"/>
          <w:szCs w:val="28"/>
          <w:highlight w:val="none"/>
          <w:lang w:val="en-US" w:eastAsia="zh-CN"/>
        </w:rPr>
        <w:t>4.2.2现状人行道</w:t>
      </w:r>
    </w:p>
    <w:p w14:paraId="2C91B6CA">
      <w:pPr>
        <w:keepNext w:val="0"/>
        <w:keepLines w:val="0"/>
        <w:pageBreakBefore w:val="0"/>
        <w:widowControl w:val="0"/>
        <w:kinsoku/>
        <w:wordWrap/>
        <w:overflowPunct/>
        <w:topLinePunct w:val="0"/>
        <w:autoSpaceDE/>
        <w:autoSpaceDN/>
        <w:bidi w:val="0"/>
        <w:adjustRightInd/>
        <w:snapToGrid/>
        <w:ind w:left="0" w:leftChars="0" w:firstLine="480" w:firstLineChars="200"/>
        <w:jc w:val="left"/>
        <w:textAlignment w:val="auto"/>
        <w:rPr>
          <w:rFonts w:hint="default" w:ascii="仿宋" w:hAnsi="仿宋" w:eastAsia="仿宋" w:cs="仿宋"/>
          <w:color w:val="auto"/>
          <w:highlight w:val="none"/>
          <w:lang w:val="en-US" w:eastAsia="zh-CN"/>
        </w:rPr>
      </w:pPr>
      <w:r>
        <w:rPr>
          <w:rFonts w:hint="default" w:ascii="仿宋" w:hAnsi="仿宋" w:eastAsia="仿宋" w:cs="仿宋"/>
          <w:color w:val="auto"/>
          <w:highlight w:val="none"/>
          <w:lang w:val="en-US" w:eastAsia="zh-CN"/>
        </w:rPr>
        <w:t>2</w:t>
      </w:r>
      <w:r>
        <w:rPr>
          <w:rFonts w:hint="eastAsia" w:ascii="仿宋" w:hAnsi="仿宋" w:eastAsia="仿宋" w:cs="仿宋"/>
          <w:color w:val="auto"/>
          <w:highlight w:val="none"/>
          <w:lang w:val="en-US" w:eastAsia="zh-CN"/>
        </w:rPr>
        <w:t>0×</w:t>
      </w:r>
      <w:r>
        <w:rPr>
          <w:rFonts w:hint="default" w:ascii="仿宋" w:hAnsi="仿宋" w:eastAsia="仿宋" w:cs="仿宋"/>
          <w:color w:val="auto"/>
          <w:highlight w:val="none"/>
          <w:lang w:val="en-US" w:eastAsia="zh-CN"/>
        </w:rPr>
        <w:t>1</w:t>
      </w:r>
      <w:r>
        <w:rPr>
          <w:rFonts w:hint="eastAsia" w:ascii="仿宋" w:hAnsi="仿宋" w:eastAsia="仿宋" w:cs="仿宋"/>
          <w:color w:val="auto"/>
          <w:highlight w:val="none"/>
          <w:lang w:val="en-US" w:eastAsia="zh-CN"/>
        </w:rPr>
        <w:t>0×</w:t>
      </w:r>
      <w:r>
        <w:rPr>
          <w:rFonts w:hint="default" w:ascii="仿宋" w:hAnsi="仿宋" w:eastAsia="仿宋" w:cs="仿宋"/>
          <w:color w:val="auto"/>
          <w:highlight w:val="none"/>
          <w:lang w:val="en-US" w:eastAsia="zh-CN"/>
        </w:rPr>
        <w:t>6cm灰色透水砖</w:t>
      </w:r>
    </w:p>
    <w:p w14:paraId="44ECD4D4">
      <w:pPr>
        <w:keepNext w:val="0"/>
        <w:keepLines w:val="0"/>
        <w:pageBreakBefore w:val="0"/>
        <w:widowControl w:val="0"/>
        <w:kinsoku/>
        <w:wordWrap/>
        <w:overflowPunct/>
        <w:topLinePunct w:val="0"/>
        <w:autoSpaceDE/>
        <w:autoSpaceDN/>
        <w:bidi w:val="0"/>
        <w:adjustRightInd/>
        <w:snapToGrid/>
        <w:ind w:left="0" w:leftChars="0" w:firstLine="480" w:firstLineChars="200"/>
        <w:jc w:val="left"/>
        <w:textAlignment w:val="auto"/>
        <w:rPr>
          <w:rFonts w:hint="default" w:ascii="仿宋" w:hAnsi="仿宋" w:eastAsia="仿宋" w:cs="仿宋"/>
          <w:color w:val="auto"/>
          <w:highlight w:val="none"/>
          <w:lang w:val="en-US" w:eastAsia="zh-CN"/>
        </w:rPr>
      </w:pPr>
      <w:r>
        <w:rPr>
          <w:rFonts w:hint="default" w:ascii="仿宋" w:hAnsi="仿宋" w:eastAsia="仿宋" w:cs="仿宋"/>
          <w:color w:val="auto"/>
          <w:highlight w:val="none"/>
          <w:lang w:val="en-US" w:eastAsia="zh-CN"/>
        </w:rPr>
        <w:t>3cm厚1：3水泥砂浆</w:t>
      </w:r>
    </w:p>
    <w:p w14:paraId="00FB2552">
      <w:pPr>
        <w:keepNext w:val="0"/>
        <w:keepLines w:val="0"/>
        <w:pageBreakBefore w:val="0"/>
        <w:widowControl w:val="0"/>
        <w:kinsoku/>
        <w:wordWrap/>
        <w:overflowPunct/>
        <w:topLinePunct w:val="0"/>
        <w:autoSpaceDE/>
        <w:autoSpaceDN/>
        <w:bidi w:val="0"/>
        <w:adjustRightInd/>
        <w:snapToGrid/>
        <w:ind w:left="0" w:leftChars="0" w:firstLine="480" w:firstLineChars="200"/>
        <w:jc w:val="left"/>
        <w:textAlignment w:val="auto"/>
        <w:rPr>
          <w:rFonts w:hint="default" w:ascii="仿宋" w:hAnsi="仿宋" w:eastAsia="仿宋" w:cs="仿宋"/>
          <w:color w:val="auto"/>
          <w:highlight w:val="none"/>
          <w:lang w:val="en-US" w:eastAsia="zh-CN"/>
        </w:rPr>
      </w:pPr>
      <w:r>
        <w:rPr>
          <w:rFonts w:hint="default" w:ascii="仿宋" w:hAnsi="仿宋" w:eastAsia="仿宋" w:cs="仿宋"/>
          <w:color w:val="auto"/>
          <w:highlight w:val="none"/>
          <w:lang w:val="en-US" w:eastAsia="zh-CN"/>
        </w:rPr>
        <w:t>15cm厚的4%水泥稳定级配碎石基层</w:t>
      </w:r>
    </w:p>
    <w:p w14:paraId="41E2AB49">
      <w:pPr>
        <w:keepNext w:val="0"/>
        <w:keepLines w:val="0"/>
        <w:pageBreakBefore w:val="0"/>
        <w:widowControl w:val="0"/>
        <w:kinsoku/>
        <w:wordWrap/>
        <w:overflowPunct/>
        <w:topLinePunct w:val="0"/>
        <w:autoSpaceDE/>
        <w:autoSpaceDN/>
        <w:bidi w:val="0"/>
        <w:adjustRightInd/>
        <w:snapToGrid/>
        <w:ind w:left="0" w:leftChars="0" w:firstLine="480" w:firstLineChars="200"/>
        <w:jc w:val="left"/>
        <w:textAlignment w:val="auto"/>
        <w:rPr>
          <w:rFonts w:hint="default" w:ascii="仿宋" w:hAnsi="仿宋" w:eastAsia="仿宋" w:cs="仿宋"/>
          <w:color w:val="auto"/>
          <w:highlight w:val="none"/>
          <w:lang w:val="en-US" w:eastAsia="zh-CN"/>
        </w:rPr>
      </w:pPr>
      <w:r>
        <w:rPr>
          <w:rFonts w:hint="default" w:ascii="仿宋" w:hAnsi="仿宋" w:eastAsia="仿宋" w:cs="仿宋"/>
          <w:color w:val="auto"/>
          <w:highlight w:val="none"/>
          <w:lang w:val="en-US" w:eastAsia="zh-CN"/>
        </w:rPr>
        <w:t>路基压实</w:t>
      </w:r>
    </w:p>
    <w:p w14:paraId="4360DA21">
      <w:pPr>
        <w:keepNext/>
        <w:keepLines/>
        <w:pageBreakBefore w:val="0"/>
        <w:widowControl w:val="0"/>
        <w:numPr>
          <w:ilvl w:val="0"/>
          <w:numId w:val="0"/>
        </w:numPr>
        <w:kinsoku/>
        <w:wordWrap/>
        <w:overflowPunct/>
        <w:topLinePunct w:val="0"/>
        <w:autoSpaceDE/>
        <w:autoSpaceDN/>
        <w:bidi w:val="0"/>
        <w:adjustRightInd/>
        <w:snapToGrid/>
        <w:spacing w:line="360" w:lineRule="auto"/>
        <w:ind w:leftChars="0"/>
        <w:jc w:val="left"/>
        <w:textAlignment w:val="auto"/>
        <w:outlineLvl w:val="1"/>
        <w:rPr>
          <w:rFonts w:hint="eastAsia" w:ascii="仿宋" w:hAnsi="仿宋" w:eastAsia="仿宋" w:cs="仿宋"/>
          <w:b/>
          <w:bCs/>
          <w:color w:val="auto"/>
          <w:sz w:val="28"/>
          <w:szCs w:val="28"/>
          <w:highlight w:val="none"/>
          <w:lang w:val="en-US" w:eastAsia="zh-CN"/>
        </w:rPr>
      </w:pPr>
      <w:bookmarkStart w:id="53" w:name="_Toc7782"/>
      <w:r>
        <w:rPr>
          <w:rFonts w:hint="eastAsia" w:ascii="仿宋" w:hAnsi="仿宋" w:eastAsia="仿宋" w:cs="仿宋"/>
          <w:b/>
          <w:bCs/>
          <w:color w:val="auto"/>
          <w:sz w:val="28"/>
          <w:szCs w:val="28"/>
          <w:highlight w:val="none"/>
          <w:lang w:val="en-US" w:eastAsia="zh-CN"/>
        </w:rPr>
        <w:t>4.3车行道调查</w:t>
      </w:r>
      <w:bookmarkEnd w:id="53"/>
    </w:p>
    <w:p w14:paraId="12A20D08">
      <w:pPr>
        <w:keepNext/>
        <w:keepLines/>
        <w:pageBreakBefore w:val="0"/>
        <w:widowControl w:val="0"/>
        <w:numPr>
          <w:ilvl w:val="0"/>
          <w:numId w:val="0"/>
        </w:numPr>
        <w:kinsoku/>
        <w:wordWrap/>
        <w:overflowPunct/>
        <w:topLinePunct w:val="0"/>
        <w:autoSpaceDE/>
        <w:autoSpaceDN/>
        <w:bidi w:val="0"/>
        <w:adjustRightInd/>
        <w:snapToGrid/>
        <w:ind w:leftChars="0"/>
        <w:jc w:val="left"/>
        <w:textAlignment w:val="auto"/>
        <w:outlineLvl w:val="2"/>
        <w:rPr>
          <w:rFonts w:hint="eastAsia" w:ascii="仿宋" w:hAnsi="仿宋" w:eastAsia="仿宋" w:cs="仿宋"/>
          <w:b/>
          <w:bCs/>
          <w:color w:val="auto"/>
          <w:szCs w:val="32"/>
          <w:highlight w:val="none"/>
        </w:rPr>
      </w:pPr>
      <w:r>
        <w:rPr>
          <w:rFonts w:hint="eastAsia" w:ascii="仿宋" w:hAnsi="仿宋" w:eastAsia="仿宋" w:cs="仿宋"/>
          <w:b/>
          <w:bCs/>
          <w:color w:val="auto"/>
          <w:szCs w:val="32"/>
          <w:highlight w:val="none"/>
          <w:lang w:val="en-US" w:eastAsia="zh-CN"/>
        </w:rPr>
        <w:t>4.3.1车行道</w:t>
      </w:r>
      <w:r>
        <w:rPr>
          <w:rFonts w:hint="eastAsia" w:ascii="仿宋" w:hAnsi="仿宋" w:eastAsia="仿宋" w:cs="仿宋"/>
          <w:b/>
          <w:bCs/>
          <w:color w:val="auto"/>
          <w:szCs w:val="32"/>
          <w:highlight w:val="none"/>
        </w:rPr>
        <w:t>病害</w:t>
      </w:r>
    </w:p>
    <w:p w14:paraId="4073E368">
      <w:pPr>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2"/>
          <w:sz w:val="24"/>
          <w:szCs w:val="24"/>
          <w:highlight w:val="none"/>
          <w:lang w:val="en-US" w:eastAsia="zh-CN" w:bidi="ar-SA"/>
        </w:rPr>
        <w:t>广茂大道现状为沥青路面，根据现场调查，道路主要病害有严重沉陷破损、轻微沉陷车辙、开裂、麻面等病害。具体病害类型如下：</w:t>
      </w:r>
    </w:p>
    <w:p w14:paraId="67EFB9AF">
      <w:pPr>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2"/>
          <w:sz w:val="24"/>
          <w:szCs w:val="24"/>
          <w:highlight w:val="none"/>
          <w:lang w:val="en-US" w:eastAsia="zh-CN" w:bidi="ar-SA"/>
        </w:rPr>
        <w:t>Ⅰ类病害:路基沉陷、破损严重。</w:t>
      </w:r>
    </w:p>
    <w:p w14:paraId="1FDFA7FA">
      <w:pPr>
        <w:spacing w:line="360" w:lineRule="auto"/>
        <w:ind w:left="0" w:leftChars="0" w:firstLine="0" w:firstLineChars="0"/>
        <w:jc w:val="center"/>
        <w:rPr>
          <w:rFonts w:hint="eastAsia" w:ascii="仿宋" w:hAnsi="仿宋" w:eastAsia="仿宋" w:cs="仿宋"/>
          <w:color w:val="auto"/>
          <w:highlight w:val="none"/>
          <w:lang w:val="en-US" w:eastAsia="zh-CN"/>
        </w:rPr>
      </w:pPr>
      <w:r>
        <w:rPr>
          <w:color w:val="auto"/>
          <w:highlight w:val="none"/>
        </w:rPr>
        <w:drawing>
          <wp:inline distT="0" distB="0" distL="114300" distR="114300">
            <wp:extent cx="3532505" cy="2600960"/>
            <wp:effectExtent l="0" t="0" r="10795" b="889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9"/>
                    <a:stretch>
                      <a:fillRect/>
                    </a:stretch>
                  </pic:blipFill>
                  <pic:spPr>
                    <a:xfrm>
                      <a:off x="0" y="0"/>
                      <a:ext cx="3532505" cy="2600960"/>
                    </a:xfrm>
                    <a:prstGeom prst="rect">
                      <a:avLst/>
                    </a:prstGeom>
                    <a:noFill/>
                    <a:ln>
                      <a:noFill/>
                    </a:ln>
                  </pic:spPr>
                </pic:pic>
              </a:graphicData>
            </a:graphic>
          </wp:inline>
        </w:drawing>
      </w:r>
    </w:p>
    <w:p w14:paraId="6FDD88F3">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路基沉陷、路面破损严重</w:t>
      </w:r>
    </w:p>
    <w:p w14:paraId="17467E9D">
      <w:pPr>
        <w:spacing w:line="360" w:lineRule="auto"/>
        <w:ind w:firstLine="480" w:firstLineChars="200"/>
        <w:jc w:val="left"/>
        <w:rPr>
          <w:rFonts w:hint="eastAsia" w:ascii="仿宋" w:hAnsi="仿宋" w:eastAsia="仿宋" w:cs="仿宋"/>
          <w:color w:val="auto"/>
          <w:highlight w:val="none"/>
          <w:lang w:val="en-US" w:eastAsia="zh-CN"/>
        </w:rPr>
      </w:pPr>
      <w:r>
        <w:rPr>
          <w:rFonts w:hint="eastAsia" w:ascii="仿宋" w:hAnsi="仿宋" w:eastAsia="仿宋" w:cs="仿宋"/>
          <w:color w:val="auto"/>
          <w:kern w:val="2"/>
          <w:sz w:val="24"/>
          <w:szCs w:val="24"/>
          <w:highlight w:val="none"/>
          <w:lang w:val="en-US" w:eastAsia="zh-CN" w:bidi="ar-SA"/>
        </w:rPr>
        <w:t>Ⅱ类病害:路面碎裂、翻浆。</w:t>
      </w:r>
    </w:p>
    <w:p w14:paraId="1345BC79">
      <w:pPr>
        <w:ind w:left="0" w:leftChars="0" w:firstLine="0" w:firstLineChars="0"/>
        <w:jc w:val="center"/>
        <w:rPr>
          <w:rFonts w:hint="eastAsia" w:ascii="仿宋" w:hAnsi="仿宋" w:eastAsia="仿宋_GB2312" w:cs="仿宋"/>
          <w:color w:val="auto"/>
          <w:highlight w:val="none"/>
          <w:lang w:val="en-US" w:eastAsia="zh-CN"/>
        </w:rPr>
      </w:pPr>
      <w:r>
        <w:rPr>
          <w:color w:val="auto"/>
          <w:highlight w:val="none"/>
        </w:rPr>
        <w:drawing>
          <wp:inline distT="0" distB="0" distL="114300" distR="114300">
            <wp:extent cx="3676650" cy="2565400"/>
            <wp:effectExtent l="0" t="0" r="0" b="635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pic:cNvPicPr>
                  </pic:nvPicPr>
                  <pic:blipFill>
                    <a:blip r:embed="rId10"/>
                    <a:stretch>
                      <a:fillRect/>
                    </a:stretch>
                  </pic:blipFill>
                  <pic:spPr>
                    <a:xfrm>
                      <a:off x="0" y="0"/>
                      <a:ext cx="3676650" cy="2565400"/>
                    </a:xfrm>
                    <a:prstGeom prst="rect">
                      <a:avLst/>
                    </a:prstGeom>
                    <a:noFill/>
                    <a:ln>
                      <a:noFill/>
                    </a:ln>
                  </pic:spPr>
                </pic:pic>
              </a:graphicData>
            </a:graphic>
          </wp:inline>
        </w:drawing>
      </w:r>
    </w:p>
    <w:p w14:paraId="3573543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路面碎裂、翻浆</w:t>
      </w:r>
    </w:p>
    <w:p w14:paraId="69C9804F">
      <w:pPr>
        <w:spacing w:line="360" w:lineRule="auto"/>
        <w:ind w:firstLine="480" w:firstLineChars="200"/>
        <w:jc w:val="left"/>
        <w:rPr>
          <w:rFonts w:hint="eastAsia" w:ascii="仿宋" w:hAnsi="仿宋" w:eastAsia="仿宋" w:cs="仿宋"/>
          <w:color w:val="auto"/>
          <w:highlight w:val="none"/>
          <w:lang w:val="en-US" w:eastAsia="zh-CN"/>
        </w:rPr>
      </w:pPr>
      <w:r>
        <w:rPr>
          <w:rFonts w:hint="eastAsia" w:ascii="仿宋" w:hAnsi="仿宋" w:eastAsia="仿宋" w:cs="仿宋"/>
          <w:color w:val="auto"/>
          <w:kern w:val="2"/>
          <w:sz w:val="24"/>
          <w:szCs w:val="24"/>
          <w:highlight w:val="none"/>
          <w:lang w:val="en-US" w:eastAsia="zh-CN" w:bidi="ar-SA"/>
        </w:rPr>
        <w:t>Ⅲ类病害:龟裂、车辙、砼破损。</w:t>
      </w:r>
    </w:p>
    <w:p w14:paraId="661E4EAF">
      <w:pPr>
        <w:ind w:left="0" w:leftChars="0" w:firstLine="0" w:firstLineChars="0"/>
        <w:jc w:val="center"/>
        <w:rPr>
          <w:rFonts w:hint="eastAsia" w:ascii="仿宋" w:hAnsi="仿宋" w:eastAsia="仿宋_GB2312" w:cs="仿宋"/>
          <w:color w:val="auto"/>
          <w:highlight w:val="none"/>
          <w:lang w:val="en-US" w:eastAsia="zh-CN"/>
        </w:rPr>
      </w:pPr>
      <w:r>
        <w:rPr>
          <w:color w:val="auto"/>
          <w:highlight w:val="none"/>
        </w:rPr>
        <w:drawing>
          <wp:inline distT="0" distB="0" distL="114300" distR="114300">
            <wp:extent cx="3352800" cy="2562225"/>
            <wp:effectExtent l="0" t="0" r="0" b="9525"/>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11"/>
                    <a:stretch>
                      <a:fillRect/>
                    </a:stretch>
                  </pic:blipFill>
                  <pic:spPr>
                    <a:xfrm>
                      <a:off x="0" y="0"/>
                      <a:ext cx="3352800" cy="2562225"/>
                    </a:xfrm>
                    <a:prstGeom prst="rect">
                      <a:avLst/>
                    </a:prstGeom>
                    <a:noFill/>
                    <a:ln>
                      <a:noFill/>
                    </a:ln>
                  </pic:spPr>
                </pic:pic>
              </a:graphicData>
            </a:graphic>
          </wp:inline>
        </w:drawing>
      </w:r>
    </w:p>
    <w:p w14:paraId="38F2FCD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highlight w:val="none"/>
          <w:lang w:val="en-US"/>
        </w:rPr>
      </w:pPr>
      <w:r>
        <w:rPr>
          <w:rFonts w:hint="eastAsia" w:ascii="仿宋" w:hAnsi="仿宋" w:eastAsia="仿宋" w:cs="仿宋"/>
          <w:color w:val="auto"/>
          <w:sz w:val="24"/>
          <w:szCs w:val="24"/>
          <w:highlight w:val="none"/>
          <w:lang w:val="en-US" w:eastAsia="zh-CN"/>
        </w:rPr>
        <w:t>路面轻微沉陷车辙</w:t>
      </w:r>
    </w:p>
    <w:p w14:paraId="4EE54909">
      <w:pPr>
        <w:spacing w:line="360" w:lineRule="auto"/>
        <w:ind w:firstLine="480" w:firstLineChars="200"/>
        <w:jc w:val="left"/>
        <w:rPr>
          <w:rFonts w:hint="eastAsia" w:ascii="仿宋" w:hAnsi="仿宋" w:eastAsia="仿宋" w:cs="仿宋"/>
          <w:color w:val="auto"/>
          <w:highlight w:val="none"/>
          <w:lang w:val="en-US" w:eastAsia="zh-CN"/>
        </w:rPr>
      </w:pPr>
      <w:r>
        <w:rPr>
          <w:rFonts w:hint="eastAsia" w:ascii="仿宋" w:hAnsi="仿宋" w:eastAsia="仿宋" w:cs="仿宋"/>
          <w:color w:val="auto"/>
          <w:kern w:val="2"/>
          <w:sz w:val="24"/>
          <w:szCs w:val="24"/>
          <w:highlight w:val="none"/>
          <w:lang w:val="en-US" w:eastAsia="zh-CN" w:bidi="ar-SA"/>
        </w:rPr>
        <w:t>Ⅳ类病害:沥青路面麻面、轻微破坏。</w:t>
      </w:r>
    </w:p>
    <w:p w14:paraId="01BB1C96">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center"/>
        <w:textAlignment w:val="auto"/>
        <w:rPr>
          <w:rFonts w:hint="eastAsia" w:ascii="仿宋" w:hAnsi="仿宋" w:eastAsia="仿宋" w:cs="仿宋"/>
          <w:color w:val="auto"/>
          <w:sz w:val="24"/>
          <w:szCs w:val="24"/>
          <w:highlight w:val="none"/>
          <w:lang w:val="en-US" w:eastAsia="zh-CN"/>
        </w:rPr>
      </w:pPr>
      <w:r>
        <w:rPr>
          <w:color w:val="auto"/>
          <w:highlight w:val="none"/>
        </w:rPr>
        <w:drawing>
          <wp:inline distT="0" distB="0" distL="114300" distR="114300">
            <wp:extent cx="3340735" cy="2581910"/>
            <wp:effectExtent l="0" t="0" r="12065" b="8890"/>
            <wp:docPr id="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
                    <pic:cNvPicPr>
                      <a:picLocks noChangeAspect="1"/>
                    </pic:cNvPicPr>
                  </pic:nvPicPr>
                  <pic:blipFill>
                    <a:blip r:embed="rId12"/>
                    <a:stretch>
                      <a:fillRect/>
                    </a:stretch>
                  </pic:blipFill>
                  <pic:spPr>
                    <a:xfrm>
                      <a:off x="0" y="0"/>
                      <a:ext cx="3340735" cy="2581910"/>
                    </a:xfrm>
                    <a:prstGeom prst="rect">
                      <a:avLst/>
                    </a:prstGeom>
                    <a:noFill/>
                    <a:ln>
                      <a:noFill/>
                    </a:ln>
                  </pic:spPr>
                </pic:pic>
              </a:graphicData>
            </a:graphic>
          </wp:inline>
        </w:drawing>
      </w:r>
    </w:p>
    <w:p w14:paraId="32C84B22">
      <w:pPr>
        <w:spacing w:line="360" w:lineRule="auto"/>
        <w:ind w:left="0" w:leftChars="0" w:firstLine="0" w:firstLineChars="0"/>
        <w:jc w:val="center"/>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麻面、标识不清</w:t>
      </w:r>
    </w:p>
    <w:p w14:paraId="2D6624D8">
      <w:pPr>
        <w:keepNext/>
        <w:keepLines/>
        <w:numPr>
          <w:ilvl w:val="0"/>
          <w:numId w:val="0"/>
        </w:numPr>
        <w:ind w:leftChars="0"/>
        <w:outlineLvl w:val="2"/>
        <w:rPr>
          <w:rFonts w:hint="eastAsia" w:ascii="仿宋" w:hAnsi="仿宋" w:eastAsia="仿宋" w:cs="仿宋"/>
          <w:b/>
          <w:bCs/>
          <w:color w:val="auto"/>
          <w:szCs w:val="32"/>
          <w:highlight w:val="none"/>
          <w:lang w:eastAsia="zh-CN"/>
        </w:rPr>
      </w:pPr>
      <w:bookmarkStart w:id="54" w:name="_Toc23098"/>
      <w:bookmarkStart w:id="55" w:name="_Toc20248842"/>
      <w:bookmarkStart w:id="56" w:name="_Toc8309"/>
      <w:r>
        <w:rPr>
          <w:rFonts w:hint="eastAsia" w:ascii="仿宋" w:hAnsi="仿宋" w:eastAsia="仿宋" w:cs="仿宋"/>
          <w:b/>
          <w:bCs/>
          <w:color w:val="auto"/>
          <w:szCs w:val="32"/>
          <w:highlight w:val="none"/>
          <w:lang w:val="en-US" w:eastAsia="zh-CN"/>
        </w:rPr>
        <w:t>4.3.2</w:t>
      </w:r>
      <w:r>
        <w:rPr>
          <w:rFonts w:hint="eastAsia" w:ascii="仿宋" w:hAnsi="仿宋" w:eastAsia="仿宋" w:cs="仿宋"/>
          <w:b/>
          <w:bCs/>
          <w:color w:val="auto"/>
          <w:szCs w:val="32"/>
          <w:highlight w:val="none"/>
        </w:rPr>
        <w:t>病害</w:t>
      </w:r>
      <w:r>
        <w:rPr>
          <w:rFonts w:hint="eastAsia" w:ascii="仿宋" w:hAnsi="仿宋" w:eastAsia="仿宋" w:cs="仿宋"/>
          <w:b/>
          <w:bCs/>
          <w:color w:val="auto"/>
          <w:szCs w:val="32"/>
          <w:highlight w:val="none"/>
          <w:lang w:eastAsia="zh-CN"/>
        </w:rPr>
        <w:t>分析</w:t>
      </w:r>
    </w:p>
    <w:p w14:paraId="75ACBE38">
      <w:pPr>
        <w:outlineLvl w:val="9"/>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广茂大道周边在建项目有重庆东站、茶惠大道等市级重点项目，过境工程车辆密集，车辆超载现象严重，导致广茂大道路面破损严总，缩短了路面使用年限。</w:t>
      </w:r>
    </w:p>
    <w:p w14:paraId="30B1063D">
      <w:pPr>
        <w:outlineLvl w:val="9"/>
        <w:rPr>
          <w:rFonts w:hint="eastAsia" w:ascii="仿宋" w:hAnsi="仿宋" w:eastAsia="仿宋" w:cs="仿宋"/>
          <w:color w:val="auto"/>
          <w:highlight w:val="none"/>
          <w:lang w:val="en-US" w:eastAsia="zh-CN"/>
        </w:rPr>
      </w:pPr>
      <w:r>
        <w:rPr>
          <w:rFonts w:hint="eastAsia" w:ascii="仿宋" w:hAnsi="仿宋" w:eastAsia="仿宋" w:cs="仿宋"/>
          <w:b/>
          <w:bCs/>
          <w:color w:val="auto"/>
          <w:sz w:val="24"/>
          <w:szCs w:val="24"/>
          <w:highlight w:val="none"/>
          <w:lang w:val="en-US" w:eastAsia="zh-CN"/>
        </w:rPr>
        <w:t>Ⅰ类病害（路基严重沉陷）</w:t>
      </w:r>
      <w:r>
        <w:rPr>
          <w:rFonts w:hint="eastAsia" w:ascii="仿宋" w:hAnsi="仿宋" w:eastAsia="仿宋" w:cs="仿宋"/>
          <w:b/>
          <w:bCs/>
          <w:color w:val="auto"/>
          <w:highlight w:val="none"/>
          <w:lang w:val="en-US" w:eastAsia="zh-CN"/>
        </w:rPr>
        <w:t>：</w:t>
      </w:r>
      <w:r>
        <w:rPr>
          <w:rFonts w:hint="eastAsia" w:ascii="仿宋" w:hAnsi="仿宋" w:eastAsia="仿宋" w:cs="仿宋"/>
          <w:color w:val="auto"/>
          <w:highlight w:val="none"/>
          <w:lang w:val="en-US" w:eastAsia="zh-CN"/>
        </w:rPr>
        <w:t>主要分布于广茂大道与开拓路交叉口位置，</w:t>
      </w:r>
      <w:r>
        <w:rPr>
          <w:rFonts w:hint="eastAsia" w:ascii="仿宋" w:hAnsi="仿宋" w:eastAsia="仿宋" w:cs="仿宋"/>
          <w:color w:val="auto"/>
          <w:sz w:val="24"/>
          <w:szCs w:val="24"/>
          <w:highlight w:val="none"/>
          <w:lang w:val="en-US" w:eastAsia="zh-CN"/>
        </w:rPr>
        <w:t>由轨道工程施工完成后进行路面恢复</w:t>
      </w:r>
      <w:r>
        <w:rPr>
          <w:rFonts w:hint="eastAsia" w:ascii="仿宋" w:hAnsi="仿宋" w:eastAsia="仿宋" w:cs="仿宋"/>
          <w:color w:val="auto"/>
          <w:highlight w:val="none"/>
          <w:lang w:val="en-US" w:eastAsia="zh-CN"/>
        </w:rPr>
        <w:t>。</w:t>
      </w:r>
    </w:p>
    <w:p w14:paraId="35BA6D2A">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①该段道路位于片区路网道路最低点，地表汇水面积大，因周边在建工地渣土车辆较多，雨水口、排水管网被堵塞，路面排水受阻。</w:t>
      </w:r>
    </w:p>
    <w:p w14:paraId="3F71866C">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②根据现场踏勘，该段为素填土层，呈松散-稍密状，路基承载力较弱，路面破坏后，雨水渗入路基填料中，路基产生自然沉降，进一步加剧路面破坏。</w:t>
      </w:r>
    </w:p>
    <w:p w14:paraId="4C90B1D2">
      <w:pPr>
        <w:rPr>
          <w:rFonts w:hint="eastAsia" w:ascii="仿宋" w:hAnsi="仿宋" w:eastAsia="仿宋" w:cs="仿宋"/>
          <w:color w:val="auto"/>
          <w:highlight w:val="none"/>
          <w:lang w:val="en-US" w:eastAsia="zh-CN"/>
        </w:rPr>
      </w:pPr>
      <w:r>
        <w:rPr>
          <w:rFonts w:hint="eastAsia" w:ascii="仿宋" w:hAnsi="仿宋" w:eastAsia="仿宋" w:cs="仿宋"/>
          <w:b/>
          <w:bCs/>
          <w:color w:val="auto"/>
          <w:highlight w:val="none"/>
          <w:lang w:val="en-US" w:eastAsia="zh-CN"/>
        </w:rPr>
        <w:t>Ⅱ类病害（路面碎裂、翻浆）：</w:t>
      </w:r>
      <w:r>
        <w:rPr>
          <w:rFonts w:hint="eastAsia" w:ascii="仿宋" w:hAnsi="仿宋" w:eastAsia="仿宋" w:cs="仿宋"/>
          <w:color w:val="auto"/>
          <w:highlight w:val="none"/>
          <w:lang w:val="en-US" w:eastAsia="zh-CN"/>
        </w:rPr>
        <w:t>病害分布于道路全线，尤其是施工超限车辆频繁行驶的路段及车道，特别是开拓路至茶惠大道段，该段两侧长期有违停车辆停放，施工车辆只能行驶于中间车道，导致中间车道路面碎裂、翻浆。</w:t>
      </w:r>
    </w:p>
    <w:p w14:paraId="279E9E68">
      <w:pPr>
        <w:rPr>
          <w:rFonts w:hint="eastAsia" w:ascii="仿宋" w:hAnsi="仿宋" w:eastAsia="仿宋" w:cs="仿宋"/>
          <w:color w:val="auto"/>
          <w:highlight w:val="none"/>
          <w:lang w:val="en-US" w:eastAsia="zh-CN"/>
        </w:rPr>
      </w:pPr>
      <w:r>
        <w:rPr>
          <w:rFonts w:hint="eastAsia" w:ascii="仿宋" w:hAnsi="仿宋" w:eastAsia="仿宋" w:cs="仿宋"/>
          <w:b/>
          <w:bCs/>
          <w:color w:val="auto"/>
          <w:highlight w:val="none"/>
          <w:lang w:val="en-US" w:eastAsia="zh-CN"/>
        </w:rPr>
        <w:t>Ⅲ类病害（龟裂、车辙、砼破损）：</w:t>
      </w:r>
      <w:r>
        <w:rPr>
          <w:rFonts w:hint="eastAsia" w:ascii="仿宋" w:hAnsi="仿宋" w:eastAsia="仿宋" w:cs="仿宋"/>
          <w:color w:val="auto"/>
          <w:highlight w:val="none"/>
          <w:lang w:val="en-US" w:eastAsia="zh-CN"/>
        </w:rPr>
        <w:t>病害分布于道路全线，路面长时间在高荷载的状态下使用，导致中间车道龟裂、车辙、砼破损。</w:t>
      </w:r>
    </w:p>
    <w:p w14:paraId="1B910042">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lang w:val="en-US" w:eastAsia="zh-CN"/>
        </w:rPr>
      </w:pPr>
      <w:r>
        <w:rPr>
          <w:rFonts w:hint="eastAsia" w:ascii="仿宋" w:hAnsi="仿宋" w:eastAsia="仿宋" w:cs="仿宋"/>
          <w:b/>
          <w:bCs/>
          <w:color w:val="auto"/>
          <w:highlight w:val="none"/>
          <w:lang w:val="en-US" w:eastAsia="zh-CN"/>
        </w:rPr>
        <w:t>Ⅳ类病害（松散麻面）：</w:t>
      </w:r>
      <w:r>
        <w:rPr>
          <w:rFonts w:hint="eastAsia" w:ascii="仿宋" w:hAnsi="仿宋" w:eastAsia="仿宋" w:cs="仿宋"/>
          <w:color w:val="auto"/>
          <w:highlight w:val="none"/>
          <w:lang w:val="en-US" w:eastAsia="zh-CN"/>
        </w:rPr>
        <w:t>病害主要分布于道路全线，由于长期渣土车辆行驶，泥浆污染路面，导致沥青面层材料颗粒松散，轻微坑洞以及标线指示不清晰。</w:t>
      </w:r>
    </w:p>
    <w:p w14:paraId="0027A2C7">
      <w:pPr>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仿宋" w:hAnsi="仿宋" w:eastAsia="仿宋" w:cs="仿宋"/>
          <w:b w:val="0"/>
          <w:bCs w:val="0"/>
          <w:color w:val="auto"/>
          <w:sz w:val="24"/>
          <w:szCs w:val="24"/>
          <w:highlight w:val="none"/>
          <w:lang w:val="en-US" w:eastAsia="zh-CN"/>
        </w:rPr>
      </w:pPr>
      <w:r>
        <w:rPr>
          <w:rFonts w:hint="eastAsia" w:ascii="仿宋" w:hAnsi="仿宋" w:eastAsia="仿宋" w:cs="仿宋"/>
          <w:color w:val="auto"/>
          <w:sz w:val="24"/>
          <w:szCs w:val="24"/>
          <w:highlight w:val="none"/>
          <w:lang w:val="en-US" w:eastAsia="zh-CN"/>
        </w:rPr>
        <w:t>本次道路提升改造只对车行道Ⅱ、Ⅲ类进行修复，其他修复内容纳入后期实施。</w:t>
      </w:r>
    </w:p>
    <w:bookmarkEnd w:id="54"/>
    <w:bookmarkEnd w:id="55"/>
    <w:bookmarkEnd w:id="56"/>
    <w:p w14:paraId="10BCAD29">
      <w:pPr>
        <w:keepNext/>
        <w:keepLines/>
        <w:pageBreakBefore w:val="0"/>
        <w:widowControl w:val="0"/>
        <w:numPr>
          <w:ilvl w:val="0"/>
          <w:numId w:val="0"/>
        </w:numPr>
        <w:kinsoku/>
        <w:wordWrap/>
        <w:overflowPunct/>
        <w:topLinePunct w:val="0"/>
        <w:autoSpaceDE/>
        <w:autoSpaceDN/>
        <w:bidi w:val="0"/>
        <w:adjustRightInd/>
        <w:snapToGrid/>
        <w:spacing w:line="360" w:lineRule="auto"/>
        <w:ind w:leftChars="0"/>
        <w:jc w:val="left"/>
        <w:textAlignment w:val="auto"/>
        <w:outlineLvl w:val="1"/>
        <w:rPr>
          <w:rFonts w:hint="eastAsia" w:ascii="仿宋" w:hAnsi="仿宋" w:eastAsia="仿宋" w:cs="仿宋"/>
          <w:b/>
          <w:bCs/>
          <w:color w:val="auto"/>
          <w:sz w:val="28"/>
          <w:szCs w:val="28"/>
          <w:highlight w:val="none"/>
          <w:lang w:val="en-US" w:eastAsia="zh-CN"/>
        </w:rPr>
      </w:pPr>
      <w:bookmarkStart w:id="57" w:name="_Toc29110"/>
      <w:r>
        <w:rPr>
          <w:rFonts w:hint="eastAsia" w:ascii="仿宋" w:hAnsi="仿宋" w:eastAsia="仿宋" w:cs="仿宋"/>
          <w:b/>
          <w:bCs/>
          <w:color w:val="auto"/>
          <w:sz w:val="28"/>
          <w:szCs w:val="28"/>
          <w:highlight w:val="none"/>
          <w:lang w:val="en-US" w:eastAsia="zh-CN"/>
        </w:rPr>
        <w:t>4.3.3路面病害评价</w:t>
      </w:r>
      <w:bookmarkEnd w:id="57"/>
    </w:p>
    <w:p w14:paraId="53D06360">
      <w:pPr>
        <w:keepNext/>
        <w:keepLines/>
        <w:pageBreakBefore w:val="0"/>
        <w:widowControl w:val="0"/>
        <w:numPr>
          <w:ilvl w:val="0"/>
          <w:numId w:val="0"/>
        </w:numPr>
        <w:kinsoku/>
        <w:wordWrap/>
        <w:overflowPunct/>
        <w:topLinePunct w:val="0"/>
        <w:autoSpaceDE/>
        <w:autoSpaceDN/>
        <w:bidi w:val="0"/>
        <w:adjustRightInd/>
        <w:snapToGrid/>
        <w:ind w:leftChars="0" w:firstLine="480" w:firstLineChars="200"/>
        <w:jc w:val="left"/>
        <w:textAlignment w:val="auto"/>
        <w:outlineLvl w:val="2"/>
        <w:rPr>
          <w:rFonts w:hint="eastAsia" w:ascii="仿宋" w:hAnsi="仿宋" w:eastAsia="仿宋" w:cs="仿宋"/>
          <w:b w:val="0"/>
          <w:bCs w:val="0"/>
          <w:color w:val="auto"/>
          <w:szCs w:val="32"/>
          <w:highlight w:val="none"/>
        </w:rPr>
      </w:pPr>
      <w:r>
        <w:rPr>
          <w:rFonts w:hint="eastAsia" w:ascii="仿宋" w:hAnsi="仿宋" w:eastAsia="仿宋" w:cs="仿宋"/>
          <w:b w:val="0"/>
          <w:bCs w:val="0"/>
          <w:color w:val="auto"/>
          <w:szCs w:val="32"/>
          <w:highlight w:val="none"/>
          <w:lang w:eastAsia="zh-CN"/>
        </w:rPr>
        <w:t>（</w:t>
      </w:r>
      <w:r>
        <w:rPr>
          <w:rFonts w:hint="eastAsia" w:ascii="仿宋" w:hAnsi="仿宋" w:eastAsia="仿宋" w:cs="仿宋"/>
          <w:b w:val="0"/>
          <w:bCs w:val="0"/>
          <w:color w:val="auto"/>
          <w:szCs w:val="32"/>
          <w:highlight w:val="none"/>
          <w:lang w:val="en-US" w:eastAsia="zh-CN"/>
        </w:rPr>
        <w:t>1</w:t>
      </w:r>
      <w:r>
        <w:rPr>
          <w:rFonts w:hint="eastAsia" w:ascii="仿宋" w:hAnsi="仿宋" w:eastAsia="仿宋" w:cs="仿宋"/>
          <w:b w:val="0"/>
          <w:bCs w:val="0"/>
          <w:color w:val="auto"/>
          <w:szCs w:val="32"/>
          <w:highlight w:val="none"/>
          <w:lang w:eastAsia="zh-CN"/>
        </w:rPr>
        <w:t>）</w:t>
      </w:r>
      <w:r>
        <w:rPr>
          <w:rFonts w:hint="eastAsia" w:ascii="仿宋" w:hAnsi="仿宋" w:eastAsia="仿宋" w:cs="仿宋"/>
          <w:b w:val="0"/>
          <w:bCs w:val="0"/>
          <w:color w:val="auto"/>
          <w:szCs w:val="32"/>
          <w:highlight w:val="none"/>
        </w:rPr>
        <w:t>路面状况指数（PCI）</w:t>
      </w:r>
    </w:p>
    <w:p w14:paraId="2B2C9F53">
      <w:pPr>
        <w:rPr>
          <w:rFonts w:hint="eastAsia" w:ascii="仿宋" w:hAnsi="仿宋" w:eastAsia="仿宋" w:cs="仿宋"/>
          <w:color w:val="auto"/>
          <w:highlight w:val="none"/>
        </w:rPr>
      </w:pPr>
      <w:r>
        <w:rPr>
          <w:rFonts w:hint="eastAsia" w:ascii="仿宋" w:hAnsi="仿宋" w:eastAsia="仿宋" w:cs="仿宋"/>
          <w:color w:val="auto"/>
          <w:highlight w:val="none"/>
          <w:lang w:eastAsia="zh-CN"/>
        </w:rPr>
        <w:t>沥青路面和水泥混凝土路面的评价指数应以路面状况指数（</w:t>
      </w:r>
      <w:r>
        <w:rPr>
          <w:rFonts w:hint="eastAsia" w:ascii="仿宋" w:hAnsi="仿宋" w:eastAsia="仿宋" w:cs="仿宋"/>
          <w:color w:val="auto"/>
          <w:highlight w:val="none"/>
        </w:rPr>
        <w:t>PCI</w:t>
      </w:r>
      <w:r>
        <w:rPr>
          <w:rFonts w:hint="eastAsia" w:ascii="仿宋" w:hAnsi="仿宋" w:eastAsia="仿宋" w:cs="仿宋"/>
          <w:color w:val="auto"/>
          <w:highlight w:val="none"/>
          <w:lang w:eastAsia="zh-CN"/>
        </w:rPr>
        <w:t>）表示，</w:t>
      </w:r>
      <w:r>
        <w:rPr>
          <w:rFonts w:hint="eastAsia" w:ascii="仿宋" w:hAnsi="仿宋" w:eastAsia="仿宋" w:cs="仿宋"/>
          <w:color w:val="auto"/>
          <w:highlight w:val="none"/>
          <w:lang w:val="en-US" w:eastAsia="zh-CN"/>
        </w:rPr>
        <w:t>PCI</w:t>
      </w:r>
      <w:r>
        <w:rPr>
          <w:rFonts w:hint="eastAsia" w:ascii="仿宋" w:hAnsi="仿宋" w:eastAsia="仿宋" w:cs="仿宋"/>
          <w:color w:val="auto"/>
          <w:highlight w:val="none"/>
        </w:rPr>
        <w:t>按以下公式计算:</w:t>
      </w:r>
    </w:p>
    <w:p w14:paraId="3FE578EA">
      <w:pPr>
        <w:pStyle w:val="296"/>
        <w:rPr>
          <w:rFonts w:hint="eastAsia" w:ascii="仿宋" w:hAnsi="仿宋" w:eastAsia="仿宋" w:cs="仿宋"/>
          <w:color w:val="auto"/>
          <w:highlight w:val="none"/>
        </w:rPr>
      </w:pPr>
      <w:r>
        <w:rPr>
          <w:rFonts w:hint="eastAsia" w:ascii="仿宋" w:hAnsi="仿宋" w:eastAsia="仿宋" w:cs="仿宋"/>
          <w:color w:val="auto"/>
          <w:highlight w:val="none"/>
        </w:rPr>
        <w:drawing>
          <wp:inline distT="0" distB="0" distL="114300" distR="114300">
            <wp:extent cx="2376805" cy="1363980"/>
            <wp:effectExtent l="0" t="0" r="4445" b="762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13"/>
                    <a:stretch>
                      <a:fillRect/>
                    </a:stretch>
                  </pic:blipFill>
                  <pic:spPr>
                    <a:xfrm>
                      <a:off x="0" y="0"/>
                      <a:ext cx="2376805" cy="1363980"/>
                    </a:xfrm>
                    <a:prstGeom prst="rect">
                      <a:avLst/>
                    </a:prstGeom>
                    <a:noFill/>
                    <a:ln>
                      <a:noFill/>
                    </a:ln>
                  </pic:spPr>
                </pic:pic>
              </a:graphicData>
            </a:graphic>
          </wp:inline>
        </w:drawing>
      </w:r>
    </w:p>
    <w:p w14:paraId="5152B070">
      <w:pPr>
        <w:pStyle w:val="296"/>
        <w:rPr>
          <w:rFonts w:hint="eastAsia" w:ascii="仿宋" w:hAnsi="仿宋" w:eastAsia="仿宋" w:cs="仿宋"/>
          <w:color w:val="auto"/>
          <w:highlight w:val="none"/>
        </w:rPr>
      </w:pPr>
    </w:p>
    <w:p w14:paraId="0CBC3B1A">
      <w:pPr>
        <w:rPr>
          <w:rFonts w:hint="eastAsia" w:ascii="仿宋" w:hAnsi="仿宋" w:eastAsia="仿宋" w:cs="仿宋"/>
          <w:color w:val="auto"/>
          <w:highlight w:val="none"/>
        </w:rPr>
      </w:pPr>
      <w:r>
        <w:rPr>
          <w:rFonts w:hint="eastAsia" w:ascii="仿宋" w:hAnsi="仿宋" w:eastAsia="仿宋" w:cs="仿宋"/>
          <w:color w:val="auto"/>
          <w:highlight w:val="none"/>
        </w:rPr>
        <w:t>式中：</w:t>
      </w:r>
      <w:r>
        <w:rPr>
          <w:rFonts w:hint="eastAsia" w:ascii="仿宋" w:hAnsi="仿宋" w:eastAsia="仿宋" w:cs="仿宋"/>
          <w:color w:val="auto"/>
          <w:highlight w:val="none"/>
          <w:lang w:val="en-US" w:eastAsia="zh-CN"/>
        </w:rPr>
        <w:t>PCI</w:t>
      </w:r>
      <w:r>
        <w:rPr>
          <w:rFonts w:hint="eastAsia" w:ascii="仿宋" w:hAnsi="仿宋" w:eastAsia="仿宋" w:cs="仿宋"/>
          <w:color w:val="auto"/>
          <w:highlight w:val="none"/>
        </w:rPr>
        <w:t>——</w:t>
      </w:r>
      <w:r>
        <w:rPr>
          <w:rFonts w:hint="eastAsia" w:ascii="仿宋" w:hAnsi="仿宋" w:eastAsia="仿宋" w:cs="仿宋"/>
          <w:color w:val="auto"/>
          <w:highlight w:val="none"/>
          <w:lang w:eastAsia="zh-CN"/>
        </w:rPr>
        <w:t>路面状况指数，数值范围为</w:t>
      </w:r>
      <w:r>
        <w:rPr>
          <w:rFonts w:hint="eastAsia" w:ascii="仿宋" w:hAnsi="仿宋" w:eastAsia="仿宋" w:cs="仿宋"/>
          <w:color w:val="auto"/>
          <w:highlight w:val="none"/>
          <w:lang w:val="en-US" w:eastAsia="zh-CN"/>
        </w:rPr>
        <w:t>0-100；如出现负值，则PCI取值为0</w:t>
      </w:r>
      <w:r>
        <w:rPr>
          <w:rFonts w:hint="eastAsia" w:ascii="仿宋" w:hAnsi="仿宋" w:eastAsia="仿宋" w:cs="仿宋"/>
          <w:color w:val="auto"/>
          <w:highlight w:val="none"/>
        </w:rPr>
        <w:t>；</w:t>
      </w:r>
    </w:p>
    <w:p w14:paraId="52651F4F">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n</w:t>
      </w:r>
      <w:r>
        <w:rPr>
          <w:rFonts w:hint="eastAsia" w:ascii="仿宋" w:hAnsi="仿宋" w:eastAsia="仿宋" w:cs="仿宋"/>
          <w:color w:val="auto"/>
          <w:highlight w:val="none"/>
        </w:rPr>
        <w:t>——</w:t>
      </w:r>
      <w:r>
        <w:rPr>
          <w:rFonts w:hint="eastAsia" w:ascii="仿宋" w:hAnsi="仿宋" w:eastAsia="仿宋" w:cs="仿宋"/>
          <w:color w:val="auto"/>
          <w:highlight w:val="none"/>
          <w:lang w:eastAsia="zh-CN"/>
        </w:rPr>
        <w:t>单类损坏类型，对沥青路面，</w:t>
      </w:r>
      <w:r>
        <w:rPr>
          <w:rFonts w:hint="eastAsia" w:ascii="仿宋" w:hAnsi="仿宋" w:eastAsia="仿宋" w:cs="仿宋"/>
          <w:color w:val="auto"/>
          <w:highlight w:val="none"/>
          <w:lang w:val="en-US" w:eastAsia="zh-CN"/>
        </w:rPr>
        <w:t>n取值为4，分别对裂缝类、变形类、松散类和其他类</w:t>
      </w:r>
      <w:r>
        <w:rPr>
          <w:rFonts w:hint="eastAsia" w:ascii="仿宋" w:hAnsi="仿宋" w:eastAsia="仿宋" w:cs="仿宋"/>
          <w:color w:val="auto"/>
          <w:highlight w:val="none"/>
        </w:rPr>
        <w:t>；</w:t>
      </w:r>
      <w:r>
        <w:rPr>
          <w:rFonts w:hint="eastAsia" w:ascii="仿宋" w:hAnsi="仿宋" w:eastAsia="仿宋" w:cs="仿宋"/>
          <w:color w:val="auto"/>
          <w:highlight w:val="none"/>
          <w:lang w:eastAsia="zh-CN"/>
        </w:rPr>
        <w:t>对水泥混凝土路面，</w:t>
      </w:r>
      <w:r>
        <w:rPr>
          <w:rFonts w:hint="eastAsia" w:ascii="仿宋" w:hAnsi="仿宋" w:eastAsia="仿宋" w:cs="仿宋"/>
          <w:color w:val="auto"/>
          <w:highlight w:val="none"/>
          <w:lang w:val="en-US" w:eastAsia="zh-CN"/>
        </w:rPr>
        <w:t>n取值为4，分别对应裂缝类、接缝破坏类、表面破坏类和其他类；</w:t>
      </w:r>
    </w:p>
    <w:p w14:paraId="016D638A">
      <w:pP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m</w:t>
      </w:r>
      <w:r>
        <w:rPr>
          <w:rFonts w:hint="eastAsia" w:ascii="仿宋" w:hAnsi="仿宋" w:eastAsia="仿宋" w:cs="仿宋"/>
          <w:color w:val="auto"/>
          <w:highlight w:val="none"/>
        </w:rPr>
        <w:t>——</w:t>
      </w:r>
      <w:r>
        <w:rPr>
          <w:rFonts w:hint="eastAsia" w:ascii="仿宋" w:hAnsi="仿宋" w:eastAsia="仿宋" w:cs="仿宋"/>
          <w:color w:val="auto"/>
          <w:highlight w:val="none"/>
          <w:lang w:eastAsia="zh-CN"/>
        </w:rPr>
        <w:t>某单类损坏所包含的单项损坏类型，对沥青路面的裂缝类损坏，</w:t>
      </w:r>
      <w:r>
        <w:rPr>
          <w:rFonts w:hint="eastAsia" w:ascii="仿宋" w:hAnsi="仿宋" w:eastAsia="仿宋" w:cs="仿宋"/>
          <w:color w:val="auto"/>
          <w:highlight w:val="none"/>
          <w:lang w:val="en-US" w:eastAsia="zh-CN"/>
        </w:rPr>
        <w:t>m取值为3，分别对应线裂、网裂和龟裂；其他单类损坏所包含的单项损坏类型根据损坏类型表依此类推</w:t>
      </w:r>
      <w:r>
        <w:rPr>
          <w:rFonts w:hint="eastAsia" w:ascii="仿宋" w:hAnsi="仿宋" w:eastAsia="仿宋" w:cs="仿宋"/>
          <w:color w:val="auto"/>
          <w:highlight w:val="none"/>
        </w:rPr>
        <w:t>；</w:t>
      </w:r>
    </w:p>
    <w:p w14:paraId="6E561A1A">
      <w:pP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DP</w:t>
      </w:r>
      <w:r>
        <w:rPr>
          <w:rFonts w:hint="eastAsia" w:ascii="仿宋" w:hAnsi="仿宋" w:eastAsia="仿宋" w:cs="仿宋"/>
          <w:color w:val="auto"/>
          <w:highlight w:val="none"/>
          <w:vertAlign w:val="subscript"/>
          <w:lang w:val="en-US" w:eastAsia="zh-CN"/>
        </w:rPr>
        <w:t>ij</w:t>
      </w:r>
      <w:r>
        <w:rPr>
          <w:rFonts w:hint="eastAsia" w:ascii="仿宋" w:hAnsi="仿宋" w:eastAsia="仿宋" w:cs="仿宋"/>
          <w:color w:val="auto"/>
          <w:highlight w:val="none"/>
        </w:rPr>
        <w:t>——第i</w:t>
      </w:r>
      <w:r>
        <w:rPr>
          <w:rFonts w:hint="eastAsia" w:ascii="仿宋" w:hAnsi="仿宋" w:eastAsia="仿宋" w:cs="仿宋"/>
          <w:color w:val="auto"/>
          <w:highlight w:val="none"/>
          <w:lang w:eastAsia="zh-CN"/>
        </w:rPr>
        <w:t>单类损坏中的第</w:t>
      </w:r>
      <w:r>
        <w:rPr>
          <w:rFonts w:hint="eastAsia" w:ascii="仿宋" w:hAnsi="仿宋" w:eastAsia="仿宋" w:cs="仿宋"/>
          <w:color w:val="auto"/>
          <w:highlight w:val="none"/>
          <w:lang w:val="en-US" w:eastAsia="zh-CN"/>
        </w:rPr>
        <w:t>j单项损坏类型的单项扣分值，具体数值根据损坏密度，由损坏单项扣分表中的值内插求得</w:t>
      </w:r>
      <w:r>
        <w:rPr>
          <w:rFonts w:hint="eastAsia" w:ascii="仿宋" w:hAnsi="仿宋" w:eastAsia="仿宋" w:cs="仿宋"/>
          <w:color w:val="auto"/>
          <w:highlight w:val="none"/>
        </w:rPr>
        <w:t>；</w:t>
      </w:r>
    </w:p>
    <w:p w14:paraId="508DC6C6">
      <w:pP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w</w:t>
      </w:r>
      <w:r>
        <w:rPr>
          <w:rFonts w:hint="eastAsia" w:ascii="仿宋" w:hAnsi="仿宋" w:eastAsia="仿宋" w:cs="仿宋"/>
          <w:color w:val="auto"/>
          <w:highlight w:val="none"/>
          <w:vertAlign w:val="subscript"/>
          <w:lang w:val="en-US" w:eastAsia="zh-CN"/>
        </w:rPr>
        <w:t>ij</w:t>
      </w:r>
      <w:r>
        <w:rPr>
          <w:rFonts w:hint="eastAsia" w:ascii="仿宋" w:hAnsi="仿宋" w:eastAsia="仿宋" w:cs="仿宋"/>
          <w:color w:val="auto"/>
          <w:highlight w:val="none"/>
        </w:rPr>
        <w:t>——第i</w:t>
      </w:r>
      <w:r>
        <w:rPr>
          <w:rFonts w:hint="eastAsia" w:ascii="仿宋" w:hAnsi="仿宋" w:eastAsia="仿宋" w:cs="仿宋"/>
          <w:color w:val="auto"/>
          <w:highlight w:val="none"/>
          <w:lang w:eastAsia="zh-CN"/>
        </w:rPr>
        <w:t>单类损坏中的第</w:t>
      </w:r>
      <w:r>
        <w:rPr>
          <w:rFonts w:hint="eastAsia" w:ascii="仿宋" w:hAnsi="仿宋" w:eastAsia="仿宋" w:cs="仿宋"/>
          <w:color w:val="auto"/>
          <w:highlight w:val="none"/>
          <w:lang w:val="en-US" w:eastAsia="zh-CN"/>
        </w:rPr>
        <w:t>j单项损坏类型的权重，其值与该单项损坏扣分值和该单类损坏所包含的所有单项损坏扣分值总和之比与该单类损坏扣分值和所有单类损坏扣分值总和之比有关</w:t>
      </w:r>
      <w:r>
        <w:rPr>
          <w:rFonts w:hint="eastAsia" w:ascii="仿宋" w:hAnsi="仿宋" w:eastAsia="仿宋" w:cs="仿宋"/>
          <w:color w:val="auto"/>
          <w:highlight w:val="none"/>
        </w:rPr>
        <w:t>；</w:t>
      </w:r>
    </w:p>
    <w:p w14:paraId="46DFFC09">
      <w:pPr>
        <w:rPr>
          <w:rFonts w:hint="eastAsia" w:ascii="仿宋" w:hAnsi="仿宋" w:eastAsia="仿宋" w:cs="仿宋"/>
          <w:color w:val="auto"/>
          <w:highlight w:val="none"/>
        </w:rPr>
      </w:pPr>
      <w:r>
        <w:rPr>
          <w:rFonts w:hint="eastAsia" w:ascii="仿宋" w:hAnsi="仿宋" w:eastAsia="仿宋" w:cs="仿宋"/>
          <w:color w:val="auto"/>
          <w:highlight w:val="none"/>
        </w:rPr>
        <w:t>《城镇道路养护技术规范》（CJJ36-2016）中对路面损坏状况的指数评价采用行驶质量指数PCI，</w:t>
      </w:r>
      <w:r>
        <w:rPr>
          <w:rFonts w:hint="eastAsia" w:ascii="仿宋" w:hAnsi="仿宋" w:eastAsia="仿宋" w:cs="仿宋"/>
          <w:color w:val="auto"/>
          <w:highlight w:val="none"/>
          <w:lang w:eastAsia="zh-CN"/>
        </w:rPr>
        <w:t>本次改造道路等级为主干路，</w:t>
      </w:r>
      <w:r>
        <w:rPr>
          <w:rFonts w:hint="eastAsia" w:ascii="仿宋" w:hAnsi="仿宋" w:eastAsia="仿宋" w:cs="仿宋"/>
          <w:color w:val="auto"/>
          <w:highlight w:val="none"/>
        </w:rPr>
        <w:t>PCI值的范围为</w:t>
      </w:r>
      <w:r>
        <w:rPr>
          <w:rFonts w:hint="eastAsia" w:ascii="仿宋" w:hAnsi="仿宋" w:eastAsia="仿宋" w:cs="仿宋"/>
          <w:color w:val="auto"/>
          <w:highlight w:val="none"/>
          <w:lang w:val="en-US" w:eastAsia="zh-CN"/>
        </w:rPr>
        <w:t>85</w:t>
      </w:r>
      <w:r>
        <w:rPr>
          <w:rFonts w:hint="eastAsia" w:ascii="仿宋" w:hAnsi="仿宋" w:eastAsia="仿宋" w:cs="仿宋"/>
          <w:color w:val="auto"/>
          <w:highlight w:val="none"/>
        </w:rPr>
        <w:t>-100</w:t>
      </w:r>
      <w:r>
        <w:rPr>
          <w:rFonts w:hint="eastAsia" w:ascii="仿宋" w:hAnsi="仿宋" w:eastAsia="仿宋" w:cs="仿宋"/>
          <w:color w:val="auto"/>
          <w:highlight w:val="none"/>
          <w:lang w:eastAsia="zh-CN"/>
        </w:rPr>
        <w:t>，路面状况评定等级为</w:t>
      </w:r>
      <w:r>
        <w:rPr>
          <w:rFonts w:hint="eastAsia" w:ascii="仿宋" w:hAnsi="仿宋" w:eastAsia="仿宋" w:cs="仿宋"/>
          <w:color w:val="auto"/>
          <w:highlight w:val="none"/>
          <w:lang w:val="en-US" w:eastAsia="zh-CN"/>
        </w:rPr>
        <w:t>A、</w:t>
      </w:r>
      <w:r>
        <w:rPr>
          <w:rFonts w:hint="eastAsia" w:ascii="仿宋" w:hAnsi="仿宋" w:eastAsia="仿宋" w:cs="仿宋"/>
          <w:color w:val="auto"/>
          <w:highlight w:val="none"/>
        </w:rPr>
        <w:t>PCI值的范围为</w:t>
      </w:r>
      <w:r>
        <w:rPr>
          <w:rFonts w:hint="eastAsia" w:ascii="仿宋" w:hAnsi="仿宋" w:eastAsia="仿宋" w:cs="仿宋"/>
          <w:color w:val="auto"/>
          <w:highlight w:val="none"/>
          <w:lang w:val="en-US" w:eastAsia="zh-CN"/>
        </w:rPr>
        <w:t>70</w:t>
      </w: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85</w:t>
      </w:r>
      <w:r>
        <w:rPr>
          <w:rFonts w:hint="eastAsia" w:ascii="仿宋" w:hAnsi="仿宋" w:eastAsia="仿宋" w:cs="仿宋"/>
          <w:color w:val="auto"/>
          <w:highlight w:val="none"/>
          <w:lang w:eastAsia="zh-CN"/>
        </w:rPr>
        <w:t>，路面状况评定等级为</w:t>
      </w:r>
      <w:r>
        <w:rPr>
          <w:rFonts w:hint="eastAsia" w:ascii="仿宋" w:hAnsi="仿宋" w:eastAsia="仿宋" w:cs="仿宋"/>
          <w:color w:val="auto"/>
          <w:highlight w:val="none"/>
          <w:lang w:val="en-US" w:eastAsia="zh-CN"/>
        </w:rPr>
        <w:t>B</w:t>
      </w:r>
      <w:r>
        <w:rPr>
          <w:rFonts w:hint="eastAsia" w:ascii="仿宋" w:hAnsi="仿宋" w:eastAsia="仿宋" w:cs="仿宋"/>
          <w:color w:val="auto"/>
          <w:highlight w:val="none"/>
        </w:rPr>
        <w:t>，PCI值的范围为</w:t>
      </w:r>
      <w:r>
        <w:rPr>
          <w:rFonts w:hint="eastAsia" w:ascii="仿宋" w:hAnsi="仿宋" w:eastAsia="仿宋" w:cs="仿宋"/>
          <w:color w:val="auto"/>
          <w:highlight w:val="none"/>
          <w:lang w:val="en-US" w:eastAsia="zh-CN"/>
        </w:rPr>
        <w:t>60</w:t>
      </w: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70</w:t>
      </w:r>
      <w:r>
        <w:rPr>
          <w:rFonts w:hint="eastAsia" w:ascii="仿宋" w:hAnsi="仿宋" w:eastAsia="仿宋" w:cs="仿宋"/>
          <w:color w:val="auto"/>
          <w:highlight w:val="none"/>
          <w:lang w:eastAsia="zh-CN"/>
        </w:rPr>
        <w:t>，路面状况评定等级为</w:t>
      </w:r>
      <w:r>
        <w:rPr>
          <w:rFonts w:hint="eastAsia" w:ascii="仿宋" w:hAnsi="仿宋" w:eastAsia="仿宋" w:cs="仿宋"/>
          <w:color w:val="auto"/>
          <w:highlight w:val="none"/>
          <w:lang w:val="en-US" w:eastAsia="zh-CN"/>
        </w:rPr>
        <w:t>C,</w:t>
      </w:r>
      <w:r>
        <w:rPr>
          <w:rFonts w:hint="eastAsia" w:ascii="仿宋" w:hAnsi="仿宋" w:eastAsia="仿宋" w:cs="仿宋"/>
          <w:color w:val="auto"/>
          <w:highlight w:val="none"/>
        </w:rPr>
        <w:t>PCI值的范围为</w:t>
      </w:r>
      <w:r>
        <w:rPr>
          <w:rFonts w:hint="eastAsia" w:ascii="仿宋" w:hAnsi="仿宋" w:eastAsia="仿宋" w:cs="仿宋"/>
          <w:color w:val="auto"/>
          <w:highlight w:val="none"/>
          <w:lang w:val="en-US" w:eastAsia="zh-CN"/>
        </w:rPr>
        <w:t>0</w:t>
      </w: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60</w:t>
      </w:r>
      <w:r>
        <w:rPr>
          <w:rFonts w:hint="eastAsia" w:ascii="仿宋" w:hAnsi="仿宋" w:eastAsia="仿宋" w:cs="仿宋"/>
          <w:color w:val="auto"/>
          <w:highlight w:val="none"/>
          <w:lang w:eastAsia="zh-CN"/>
        </w:rPr>
        <w:t>，路面状况评定等级为</w:t>
      </w:r>
      <w:r>
        <w:rPr>
          <w:rFonts w:hint="eastAsia" w:ascii="仿宋" w:hAnsi="仿宋" w:eastAsia="仿宋" w:cs="仿宋"/>
          <w:color w:val="auto"/>
          <w:highlight w:val="none"/>
          <w:lang w:val="en-US" w:eastAsia="zh-CN"/>
        </w:rPr>
        <w:t>D，</w:t>
      </w:r>
      <w:r>
        <w:rPr>
          <w:rFonts w:hint="eastAsia" w:ascii="仿宋" w:hAnsi="仿宋" w:eastAsia="仿宋" w:cs="仿宋"/>
          <w:color w:val="auto"/>
          <w:highlight w:val="none"/>
        </w:rPr>
        <w:t>值越</w:t>
      </w:r>
      <w:r>
        <w:rPr>
          <w:rFonts w:hint="eastAsia" w:ascii="仿宋" w:hAnsi="仿宋" w:eastAsia="仿宋" w:cs="仿宋"/>
          <w:color w:val="auto"/>
          <w:highlight w:val="none"/>
          <w:lang w:eastAsia="zh-CN"/>
        </w:rPr>
        <w:t>小</w:t>
      </w:r>
      <w:r>
        <w:rPr>
          <w:rFonts w:hint="eastAsia" w:ascii="仿宋" w:hAnsi="仿宋" w:eastAsia="仿宋" w:cs="仿宋"/>
          <w:color w:val="auto"/>
          <w:highlight w:val="none"/>
        </w:rPr>
        <w:t>，说明路面</w:t>
      </w:r>
      <w:r>
        <w:rPr>
          <w:rFonts w:hint="eastAsia" w:ascii="仿宋" w:hAnsi="仿宋" w:eastAsia="仿宋" w:cs="仿宋"/>
          <w:color w:val="auto"/>
          <w:highlight w:val="none"/>
          <w:lang w:eastAsia="zh-CN"/>
        </w:rPr>
        <w:t>损坏程度越大</w:t>
      </w:r>
      <w:r>
        <w:rPr>
          <w:rFonts w:hint="eastAsia" w:ascii="仿宋" w:hAnsi="仿宋" w:eastAsia="仿宋" w:cs="仿宋"/>
          <w:color w:val="auto"/>
          <w:highlight w:val="none"/>
        </w:rPr>
        <w:t>。</w:t>
      </w:r>
    </w:p>
    <w:p w14:paraId="791E41F8">
      <w:pPr>
        <w:rPr>
          <w:rFonts w:hint="eastAsia" w:ascii="仿宋" w:hAnsi="仿宋" w:eastAsia="仿宋" w:cs="仿宋"/>
          <w:color w:val="auto"/>
          <w:highlight w:val="none"/>
        </w:rPr>
      </w:pPr>
      <w:r>
        <w:rPr>
          <w:rFonts w:hint="eastAsia" w:ascii="仿宋" w:hAnsi="仿宋" w:eastAsia="仿宋" w:cs="仿宋"/>
          <w:color w:val="auto"/>
          <w:highlight w:val="none"/>
        </w:rPr>
        <w:t>路面状况指数（PCI）及评价等级见下表：</w:t>
      </w:r>
    </w:p>
    <w:p w14:paraId="2EB0711C">
      <w:pPr>
        <w:pStyle w:val="296"/>
        <w:rPr>
          <w:rFonts w:hint="eastAsia" w:ascii="仿宋" w:hAnsi="仿宋" w:eastAsia="仿宋" w:cs="仿宋"/>
          <w:color w:val="auto"/>
          <w:highlight w:val="none"/>
        </w:rPr>
      </w:pPr>
      <w:r>
        <w:rPr>
          <w:rFonts w:hint="eastAsia" w:ascii="仿宋" w:hAnsi="仿宋" w:eastAsia="仿宋" w:cs="仿宋"/>
          <w:color w:val="auto"/>
          <w:highlight w:val="none"/>
        </w:rPr>
        <w:t>路面状况指数PCI一览表</w:t>
      </w:r>
    </w:p>
    <w:tbl>
      <w:tblPr>
        <w:tblStyle w:val="88"/>
        <w:tblW w:w="0" w:type="auto"/>
        <w:jc w:val="center"/>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CellMar>
          <w:top w:w="0" w:type="dxa"/>
          <w:left w:w="108" w:type="dxa"/>
          <w:bottom w:w="0" w:type="dxa"/>
          <w:right w:w="108" w:type="dxa"/>
        </w:tblCellMar>
      </w:tblPr>
      <w:tblGrid>
        <w:gridCol w:w="406"/>
        <w:gridCol w:w="1415"/>
        <w:gridCol w:w="2416"/>
        <w:gridCol w:w="885"/>
        <w:gridCol w:w="1200"/>
        <w:gridCol w:w="1230"/>
        <w:gridCol w:w="1260"/>
        <w:gridCol w:w="1323"/>
      </w:tblGrid>
      <w:tr w14:paraId="5176AE41">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18" w:hRule="atLeast"/>
          <w:tblHeader/>
          <w:jc w:val="center"/>
        </w:trPr>
        <w:tc>
          <w:tcPr>
            <w:tcW w:w="40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5BA1E13">
            <w:pPr>
              <w:pStyle w:val="296"/>
              <w:rPr>
                <w:rFonts w:hint="eastAsia" w:ascii="仿宋" w:hAnsi="仿宋" w:eastAsia="仿宋" w:cs="仿宋"/>
                <w:color w:val="auto"/>
                <w:highlight w:val="none"/>
              </w:rPr>
            </w:pPr>
            <w:r>
              <w:rPr>
                <w:rFonts w:hint="eastAsia" w:ascii="仿宋" w:hAnsi="仿宋" w:eastAsia="仿宋" w:cs="仿宋"/>
                <w:color w:val="auto"/>
                <w:highlight w:val="none"/>
              </w:rPr>
              <w:t>序号</w:t>
            </w:r>
          </w:p>
        </w:tc>
        <w:tc>
          <w:tcPr>
            <w:tcW w:w="141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B239B8C">
            <w:pPr>
              <w:pStyle w:val="296"/>
              <w:rPr>
                <w:rFonts w:hint="eastAsia" w:ascii="仿宋" w:hAnsi="仿宋" w:eastAsia="仿宋" w:cs="仿宋"/>
                <w:color w:val="auto"/>
                <w:highlight w:val="none"/>
              </w:rPr>
            </w:pPr>
            <w:r>
              <w:rPr>
                <w:rFonts w:hint="eastAsia" w:ascii="仿宋" w:hAnsi="仿宋" w:eastAsia="仿宋" w:cs="仿宋"/>
                <w:color w:val="auto"/>
                <w:highlight w:val="none"/>
              </w:rPr>
              <w:t>路段名称</w:t>
            </w:r>
          </w:p>
        </w:tc>
        <w:tc>
          <w:tcPr>
            <w:tcW w:w="241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2CD886F">
            <w:pPr>
              <w:pStyle w:val="296"/>
              <w:rPr>
                <w:rFonts w:hint="eastAsia" w:ascii="仿宋" w:hAnsi="仿宋" w:eastAsia="仿宋" w:cs="仿宋"/>
                <w:color w:val="auto"/>
                <w:highlight w:val="none"/>
              </w:rPr>
            </w:pPr>
            <w:r>
              <w:rPr>
                <w:rFonts w:hint="eastAsia" w:ascii="仿宋" w:hAnsi="仿宋" w:eastAsia="仿宋" w:cs="仿宋"/>
                <w:color w:val="auto"/>
                <w:highlight w:val="none"/>
              </w:rPr>
              <w:t>改造范围</w:t>
            </w:r>
          </w:p>
        </w:tc>
        <w:tc>
          <w:tcPr>
            <w:tcW w:w="88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3F9FE55">
            <w:pPr>
              <w:pStyle w:val="296"/>
              <w:rPr>
                <w:rFonts w:hint="eastAsia" w:ascii="仿宋" w:hAnsi="仿宋" w:eastAsia="仿宋" w:cs="仿宋"/>
                <w:color w:val="auto"/>
                <w:highlight w:val="none"/>
              </w:rPr>
            </w:pPr>
            <w:r>
              <w:rPr>
                <w:rFonts w:hint="eastAsia" w:ascii="仿宋" w:hAnsi="仿宋" w:eastAsia="仿宋" w:cs="仿宋"/>
                <w:color w:val="auto"/>
                <w:highlight w:val="none"/>
              </w:rPr>
              <w:t>长度（m）</w:t>
            </w:r>
          </w:p>
        </w:tc>
        <w:tc>
          <w:tcPr>
            <w:tcW w:w="1200"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1012BFB">
            <w:pPr>
              <w:pStyle w:val="296"/>
              <w:rPr>
                <w:rFonts w:hint="eastAsia" w:ascii="仿宋" w:hAnsi="仿宋" w:eastAsia="仿宋" w:cs="仿宋"/>
                <w:color w:val="auto"/>
                <w:highlight w:val="none"/>
              </w:rPr>
            </w:pPr>
            <w:r>
              <w:rPr>
                <w:rFonts w:hint="eastAsia" w:ascii="仿宋" w:hAnsi="仿宋" w:eastAsia="仿宋" w:cs="仿宋"/>
                <w:color w:val="auto"/>
                <w:highlight w:val="none"/>
              </w:rPr>
              <w:t>路面类型</w:t>
            </w:r>
          </w:p>
        </w:tc>
        <w:tc>
          <w:tcPr>
            <w:tcW w:w="1230"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D1171A0">
            <w:pPr>
              <w:pStyle w:val="296"/>
              <w:rPr>
                <w:rFonts w:hint="eastAsia" w:ascii="仿宋" w:hAnsi="仿宋" w:eastAsia="仿宋" w:cs="仿宋"/>
                <w:color w:val="auto"/>
                <w:highlight w:val="none"/>
              </w:rPr>
            </w:pPr>
            <w:r>
              <w:rPr>
                <w:rFonts w:hint="eastAsia" w:ascii="仿宋" w:hAnsi="仿宋" w:eastAsia="仿宋" w:cs="仿宋"/>
                <w:color w:val="auto"/>
                <w:highlight w:val="none"/>
              </w:rPr>
              <w:t>路面状况指数PCI</w:t>
            </w:r>
          </w:p>
        </w:tc>
        <w:tc>
          <w:tcPr>
            <w:tcW w:w="1260"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818FF1D">
            <w:pPr>
              <w:pStyle w:val="296"/>
              <w:rPr>
                <w:rFonts w:hint="eastAsia" w:ascii="仿宋" w:hAnsi="仿宋" w:eastAsia="仿宋" w:cs="仿宋"/>
                <w:color w:val="auto"/>
                <w:highlight w:val="none"/>
              </w:rPr>
            </w:pPr>
            <w:r>
              <w:rPr>
                <w:rFonts w:hint="eastAsia" w:ascii="仿宋" w:hAnsi="仿宋" w:eastAsia="仿宋" w:cs="仿宋"/>
                <w:color w:val="auto"/>
                <w:highlight w:val="none"/>
              </w:rPr>
              <w:t>路面状况评定等级</w:t>
            </w:r>
          </w:p>
        </w:tc>
        <w:tc>
          <w:tcPr>
            <w:tcW w:w="132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15CF006">
            <w:pPr>
              <w:pStyle w:val="296"/>
              <w:rPr>
                <w:rFonts w:hint="eastAsia" w:ascii="仿宋" w:hAnsi="仿宋" w:eastAsia="仿宋" w:cs="仿宋"/>
                <w:color w:val="auto"/>
                <w:highlight w:val="none"/>
              </w:rPr>
            </w:pPr>
            <w:r>
              <w:rPr>
                <w:rFonts w:hint="eastAsia" w:ascii="仿宋" w:hAnsi="仿宋" w:eastAsia="仿宋" w:cs="仿宋"/>
                <w:color w:val="auto"/>
                <w:highlight w:val="none"/>
              </w:rPr>
              <w:t>维修养护措施</w:t>
            </w:r>
          </w:p>
        </w:tc>
      </w:tr>
      <w:tr w14:paraId="5DEF656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92" w:hRule="atLeast"/>
          <w:jc w:val="center"/>
        </w:trPr>
        <w:tc>
          <w:tcPr>
            <w:tcW w:w="40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3A81D9B">
            <w:pPr>
              <w:widowControl/>
              <w:adjustRightInd/>
              <w:snapToGrid/>
              <w:spacing w:line="240" w:lineRule="auto"/>
              <w:ind w:firstLine="0" w:firstLineChars="0"/>
              <w:jc w:val="center"/>
              <w:rPr>
                <w:rFonts w:hint="eastAsia"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0"/>
                <w:sz w:val="24"/>
                <w:highlight w:val="none"/>
                <w:lang w:val="en-US" w:eastAsia="zh-CN"/>
              </w:rPr>
              <w:t>1</w:t>
            </w:r>
          </w:p>
        </w:tc>
        <w:tc>
          <w:tcPr>
            <w:tcW w:w="141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1EEBED3">
            <w:pPr>
              <w:widowControl/>
              <w:adjustRightInd/>
              <w:snapToGrid/>
              <w:spacing w:line="240" w:lineRule="auto"/>
              <w:ind w:firstLine="0" w:firstLineChars="0"/>
              <w:jc w:val="center"/>
              <w:rPr>
                <w:rFonts w:hint="eastAsia"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0"/>
                <w:sz w:val="24"/>
                <w:highlight w:val="none"/>
                <w:lang w:eastAsia="zh-CN"/>
              </w:rPr>
              <w:t>广茂大道</w:t>
            </w:r>
          </w:p>
        </w:tc>
        <w:tc>
          <w:tcPr>
            <w:tcW w:w="241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40C76EF">
            <w:pPr>
              <w:widowControl/>
              <w:adjustRightInd/>
              <w:snapToGrid/>
              <w:spacing w:line="240" w:lineRule="auto"/>
              <w:ind w:firstLine="0" w:firstLineChars="0"/>
              <w:jc w:val="center"/>
              <w:rPr>
                <w:rFonts w:hint="default"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0"/>
                <w:sz w:val="24"/>
                <w:highlight w:val="none"/>
                <w:lang w:val="en-US" w:eastAsia="zh-CN"/>
              </w:rPr>
              <w:t>K0+47.19~K1+080</w:t>
            </w:r>
          </w:p>
        </w:tc>
        <w:tc>
          <w:tcPr>
            <w:tcW w:w="88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B750525">
            <w:pPr>
              <w:widowControl/>
              <w:adjustRightInd/>
              <w:snapToGrid/>
              <w:spacing w:line="240" w:lineRule="auto"/>
              <w:ind w:firstLine="0" w:firstLineChars="0"/>
              <w:jc w:val="center"/>
              <w:rPr>
                <w:rFonts w:hint="default"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0"/>
                <w:sz w:val="24"/>
                <w:highlight w:val="none"/>
                <w:lang w:val="en-US" w:eastAsia="zh-CN"/>
              </w:rPr>
              <w:t>1032</w:t>
            </w:r>
          </w:p>
        </w:tc>
        <w:tc>
          <w:tcPr>
            <w:tcW w:w="1200"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291379B">
            <w:pPr>
              <w:widowControl/>
              <w:adjustRightInd/>
              <w:snapToGrid/>
              <w:spacing w:line="240" w:lineRule="auto"/>
              <w:ind w:firstLine="0" w:firstLineChars="0"/>
              <w:jc w:val="center"/>
              <w:rPr>
                <w:rFonts w:hint="eastAsia"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0"/>
                <w:sz w:val="24"/>
                <w:highlight w:val="none"/>
              </w:rPr>
              <w:t>沥青</w:t>
            </w:r>
            <w:r>
              <w:rPr>
                <w:rFonts w:hint="eastAsia" w:ascii="仿宋" w:hAnsi="仿宋" w:eastAsia="仿宋" w:cs="仿宋"/>
                <w:color w:val="auto"/>
                <w:kern w:val="0"/>
                <w:sz w:val="24"/>
                <w:highlight w:val="none"/>
                <w:lang w:eastAsia="zh-CN"/>
              </w:rPr>
              <w:t>砼</w:t>
            </w:r>
          </w:p>
        </w:tc>
        <w:tc>
          <w:tcPr>
            <w:tcW w:w="1230"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88E38D8">
            <w:pPr>
              <w:widowControl/>
              <w:adjustRightInd/>
              <w:snapToGrid/>
              <w:spacing w:line="240" w:lineRule="auto"/>
              <w:ind w:firstLine="0" w:firstLineChars="0"/>
              <w:jc w:val="center"/>
              <w:rPr>
                <w:rFonts w:hint="default"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2"/>
                <w:sz w:val="24"/>
                <w:szCs w:val="24"/>
                <w:highlight w:val="none"/>
                <w:lang w:val="en-US" w:eastAsia="zh-CN" w:bidi="ar-SA"/>
              </w:rPr>
              <w:t>68.6</w:t>
            </w:r>
          </w:p>
        </w:tc>
        <w:tc>
          <w:tcPr>
            <w:tcW w:w="1260"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C9F843E">
            <w:pPr>
              <w:widowControl/>
              <w:adjustRightInd/>
              <w:snapToGrid/>
              <w:spacing w:line="240" w:lineRule="auto"/>
              <w:ind w:firstLine="0" w:firstLineChars="0"/>
              <w:jc w:val="center"/>
              <w:rPr>
                <w:rFonts w:hint="eastAsia"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0"/>
                <w:sz w:val="24"/>
                <w:highlight w:val="none"/>
                <w:lang w:val="en-US" w:eastAsia="zh-CN"/>
              </w:rPr>
              <w:t>C</w:t>
            </w:r>
          </w:p>
        </w:tc>
        <w:tc>
          <w:tcPr>
            <w:tcW w:w="132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9BA0AC3">
            <w:pPr>
              <w:widowControl/>
              <w:adjustRightInd/>
              <w:snapToGrid/>
              <w:spacing w:line="240" w:lineRule="auto"/>
              <w:ind w:firstLine="0" w:firstLineChars="0"/>
              <w:jc w:val="center"/>
              <w:rPr>
                <w:rFonts w:hint="eastAsia"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0"/>
                <w:sz w:val="24"/>
                <w:highlight w:val="none"/>
                <w:lang w:eastAsia="zh-CN"/>
              </w:rPr>
              <w:t>中修</w:t>
            </w:r>
          </w:p>
        </w:tc>
      </w:tr>
      <w:tr w14:paraId="2B1C329D">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18" w:hRule="atLeast"/>
          <w:jc w:val="center"/>
        </w:trPr>
        <w:tc>
          <w:tcPr>
            <w:tcW w:w="40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16D19F4">
            <w:pPr>
              <w:widowControl/>
              <w:adjustRightInd/>
              <w:snapToGrid/>
              <w:spacing w:line="240" w:lineRule="auto"/>
              <w:ind w:firstLine="0" w:firstLineChars="0"/>
              <w:jc w:val="center"/>
              <w:rPr>
                <w:rFonts w:hint="eastAsia"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2</w:t>
            </w:r>
          </w:p>
        </w:tc>
        <w:tc>
          <w:tcPr>
            <w:tcW w:w="141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69F317E">
            <w:pPr>
              <w:widowControl/>
              <w:adjustRightInd/>
              <w:snapToGrid/>
              <w:spacing w:line="240" w:lineRule="auto"/>
              <w:ind w:firstLine="0" w:firstLineChars="0"/>
              <w:jc w:val="center"/>
              <w:rPr>
                <w:rFonts w:hint="eastAsia" w:ascii="仿宋" w:hAnsi="仿宋" w:eastAsia="仿宋" w:cs="仿宋"/>
                <w:color w:val="auto"/>
                <w:kern w:val="0"/>
                <w:sz w:val="24"/>
                <w:highlight w:val="none"/>
                <w:lang w:eastAsia="zh-CN"/>
              </w:rPr>
            </w:pPr>
            <w:r>
              <w:rPr>
                <w:rFonts w:hint="eastAsia" w:ascii="仿宋" w:hAnsi="仿宋" w:eastAsia="仿宋" w:cs="仿宋"/>
                <w:color w:val="auto"/>
                <w:kern w:val="0"/>
                <w:sz w:val="24"/>
                <w:highlight w:val="none"/>
                <w:lang w:eastAsia="zh-CN"/>
              </w:rPr>
              <w:t>广茂大道</w:t>
            </w:r>
          </w:p>
        </w:tc>
        <w:tc>
          <w:tcPr>
            <w:tcW w:w="241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56B55FF">
            <w:pPr>
              <w:widowControl/>
              <w:adjustRightInd/>
              <w:snapToGrid/>
              <w:spacing w:line="240" w:lineRule="auto"/>
              <w:ind w:firstLine="0" w:firstLineChars="0"/>
              <w:jc w:val="center"/>
              <w:rPr>
                <w:rFonts w:hint="default"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K1+080~K1+190</w:t>
            </w:r>
          </w:p>
        </w:tc>
        <w:tc>
          <w:tcPr>
            <w:tcW w:w="88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0829A85">
            <w:pPr>
              <w:widowControl/>
              <w:adjustRightInd/>
              <w:snapToGrid/>
              <w:spacing w:line="240" w:lineRule="auto"/>
              <w:ind w:firstLine="0" w:firstLineChars="0"/>
              <w:jc w:val="center"/>
              <w:rPr>
                <w:rFonts w:hint="eastAsia"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200</w:t>
            </w:r>
          </w:p>
        </w:tc>
        <w:tc>
          <w:tcPr>
            <w:tcW w:w="1200"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82E1CE7">
            <w:pPr>
              <w:widowControl/>
              <w:adjustRightInd/>
              <w:snapToGrid/>
              <w:spacing w:line="240" w:lineRule="auto"/>
              <w:ind w:firstLine="0" w:firstLineChars="0"/>
              <w:jc w:val="center"/>
              <w:rPr>
                <w:rFonts w:hint="eastAsia" w:ascii="仿宋" w:hAnsi="仿宋" w:eastAsia="仿宋" w:cs="仿宋"/>
                <w:color w:val="auto"/>
                <w:kern w:val="0"/>
                <w:sz w:val="24"/>
                <w:highlight w:val="none"/>
              </w:rPr>
            </w:pPr>
            <w:r>
              <w:rPr>
                <w:rFonts w:hint="eastAsia" w:ascii="仿宋" w:hAnsi="仿宋" w:eastAsia="仿宋" w:cs="仿宋"/>
                <w:color w:val="auto"/>
                <w:kern w:val="0"/>
                <w:sz w:val="24"/>
                <w:highlight w:val="none"/>
              </w:rPr>
              <w:t>沥青</w:t>
            </w:r>
            <w:r>
              <w:rPr>
                <w:rFonts w:hint="eastAsia" w:ascii="仿宋" w:hAnsi="仿宋" w:eastAsia="仿宋" w:cs="仿宋"/>
                <w:color w:val="auto"/>
                <w:kern w:val="0"/>
                <w:sz w:val="24"/>
                <w:highlight w:val="none"/>
                <w:lang w:eastAsia="zh-CN"/>
              </w:rPr>
              <w:t>砼</w:t>
            </w:r>
          </w:p>
        </w:tc>
        <w:tc>
          <w:tcPr>
            <w:tcW w:w="1230"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A778CEE">
            <w:pPr>
              <w:widowControl/>
              <w:adjustRightInd/>
              <w:snapToGrid/>
              <w:spacing w:line="240" w:lineRule="auto"/>
              <w:ind w:firstLine="0" w:firstLineChars="0"/>
              <w:jc w:val="center"/>
              <w:rPr>
                <w:rFonts w:hint="eastAsia"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 xml:space="preserve">42.6 </w:t>
            </w:r>
          </w:p>
        </w:tc>
        <w:tc>
          <w:tcPr>
            <w:tcW w:w="1260"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3195FA1">
            <w:pPr>
              <w:widowControl/>
              <w:adjustRightInd/>
              <w:snapToGrid/>
              <w:spacing w:line="240" w:lineRule="auto"/>
              <w:ind w:firstLine="0" w:firstLineChars="0"/>
              <w:jc w:val="center"/>
              <w:rPr>
                <w:rFonts w:hint="eastAsia"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D</w:t>
            </w:r>
          </w:p>
        </w:tc>
        <w:tc>
          <w:tcPr>
            <w:tcW w:w="132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2423E5A">
            <w:pPr>
              <w:widowControl/>
              <w:adjustRightInd/>
              <w:snapToGrid/>
              <w:spacing w:line="240" w:lineRule="auto"/>
              <w:ind w:firstLine="0" w:firstLineChars="0"/>
              <w:jc w:val="center"/>
              <w:rPr>
                <w:rFonts w:hint="eastAsia" w:ascii="仿宋" w:hAnsi="仿宋" w:eastAsia="仿宋" w:cs="仿宋"/>
                <w:color w:val="auto"/>
                <w:kern w:val="0"/>
                <w:sz w:val="24"/>
                <w:highlight w:val="none"/>
                <w:lang w:eastAsia="zh-CN"/>
              </w:rPr>
            </w:pPr>
            <w:r>
              <w:rPr>
                <w:rFonts w:hint="eastAsia" w:ascii="仿宋" w:hAnsi="仿宋" w:eastAsia="仿宋" w:cs="仿宋"/>
                <w:color w:val="auto"/>
                <w:kern w:val="0"/>
                <w:sz w:val="24"/>
                <w:highlight w:val="none"/>
                <w:lang w:eastAsia="zh-CN"/>
              </w:rPr>
              <w:t>大修</w:t>
            </w:r>
          </w:p>
        </w:tc>
      </w:tr>
      <w:tr w14:paraId="1DAC079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40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3E56852">
            <w:pPr>
              <w:widowControl/>
              <w:adjustRightInd/>
              <w:snapToGrid/>
              <w:spacing w:line="240" w:lineRule="auto"/>
              <w:ind w:firstLine="0" w:firstLineChars="0"/>
              <w:jc w:val="center"/>
              <w:rPr>
                <w:rFonts w:hint="eastAsia"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3</w:t>
            </w:r>
          </w:p>
        </w:tc>
        <w:tc>
          <w:tcPr>
            <w:tcW w:w="141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908F44A">
            <w:pPr>
              <w:widowControl/>
              <w:adjustRightInd/>
              <w:snapToGrid/>
              <w:spacing w:line="240" w:lineRule="auto"/>
              <w:ind w:firstLine="0" w:firstLineChars="0"/>
              <w:jc w:val="center"/>
              <w:rPr>
                <w:rFonts w:hint="eastAsia" w:ascii="仿宋" w:hAnsi="仿宋" w:eastAsia="仿宋" w:cs="仿宋"/>
                <w:color w:val="auto"/>
                <w:kern w:val="0"/>
                <w:sz w:val="24"/>
                <w:highlight w:val="none"/>
                <w:lang w:eastAsia="zh-CN"/>
              </w:rPr>
            </w:pPr>
            <w:r>
              <w:rPr>
                <w:rFonts w:hint="eastAsia" w:ascii="仿宋" w:hAnsi="仿宋" w:eastAsia="仿宋" w:cs="仿宋"/>
                <w:color w:val="auto"/>
                <w:kern w:val="0"/>
                <w:sz w:val="24"/>
                <w:highlight w:val="none"/>
                <w:lang w:eastAsia="zh-CN"/>
              </w:rPr>
              <w:t>广茂大道</w:t>
            </w:r>
          </w:p>
        </w:tc>
        <w:tc>
          <w:tcPr>
            <w:tcW w:w="241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A540CD2">
            <w:pPr>
              <w:widowControl/>
              <w:adjustRightInd/>
              <w:snapToGrid/>
              <w:spacing w:line="240" w:lineRule="auto"/>
              <w:ind w:firstLine="0" w:firstLineChars="0"/>
              <w:jc w:val="center"/>
              <w:rPr>
                <w:rFonts w:hint="default"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K1+190~K1+556.52</w:t>
            </w:r>
          </w:p>
        </w:tc>
        <w:tc>
          <w:tcPr>
            <w:tcW w:w="88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E7A0FF6">
            <w:pPr>
              <w:widowControl/>
              <w:adjustRightInd/>
              <w:snapToGrid/>
              <w:spacing w:line="240" w:lineRule="auto"/>
              <w:ind w:firstLine="0" w:firstLineChars="0"/>
              <w:jc w:val="center"/>
              <w:rPr>
                <w:rFonts w:hint="eastAsia"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422</w:t>
            </w:r>
          </w:p>
        </w:tc>
        <w:tc>
          <w:tcPr>
            <w:tcW w:w="1200"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6930941">
            <w:pPr>
              <w:widowControl/>
              <w:adjustRightInd/>
              <w:snapToGrid/>
              <w:spacing w:line="240" w:lineRule="auto"/>
              <w:ind w:firstLine="0" w:firstLineChars="0"/>
              <w:jc w:val="center"/>
              <w:rPr>
                <w:rFonts w:hint="eastAsia" w:ascii="仿宋" w:hAnsi="仿宋" w:eastAsia="仿宋" w:cs="仿宋"/>
                <w:color w:val="auto"/>
                <w:kern w:val="0"/>
                <w:sz w:val="24"/>
                <w:highlight w:val="none"/>
              </w:rPr>
            </w:pPr>
            <w:r>
              <w:rPr>
                <w:rFonts w:hint="eastAsia" w:ascii="仿宋" w:hAnsi="仿宋" w:eastAsia="仿宋" w:cs="仿宋"/>
                <w:color w:val="auto"/>
                <w:kern w:val="0"/>
                <w:sz w:val="24"/>
                <w:highlight w:val="none"/>
              </w:rPr>
              <w:t>沥青</w:t>
            </w:r>
            <w:r>
              <w:rPr>
                <w:rFonts w:hint="eastAsia" w:ascii="仿宋" w:hAnsi="仿宋" w:eastAsia="仿宋" w:cs="仿宋"/>
                <w:color w:val="auto"/>
                <w:kern w:val="0"/>
                <w:sz w:val="24"/>
                <w:highlight w:val="none"/>
                <w:lang w:eastAsia="zh-CN"/>
              </w:rPr>
              <w:t>砼</w:t>
            </w:r>
          </w:p>
        </w:tc>
        <w:tc>
          <w:tcPr>
            <w:tcW w:w="1230"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824B53F">
            <w:pPr>
              <w:widowControl/>
              <w:adjustRightInd/>
              <w:snapToGrid/>
              <w:spacing w:line="240" w:lineRule="auto"/>
              <w:ind w:firstLine="0" w:firstLineChars="0"/>
              <w:jc w:val="center"/>
              <w:rPr>
                <w:rFonts w:hint="eastAsia"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 xml:space="preserve">86.1 </w:t>
            </w:r>
          </w:p>
        </w:tc>
        <w:tc>
          <w:tcPr>
            <w:tcW w:w="1260"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6CCB7CE">
            <w:pPr>
              <w:widowControl/>
              <w:adjustRightInd/>
              <w:snapToGrid/>
              <w:spacing w:line="240" w:lineRule="auto"/>
              <w:ind w:firstLine="0" w:firstLineChars="0"/>
              <w:jc w:val="center"/>
              <w:rPr>
                <w:rFonts w:hint="eastAsia"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A</w:t>
            </w:r>
          </w:p>
        </w:tc>
        <w:tc>
          <w:tcPr>
            <w:tcW w:w="132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0CEC8BB">
            <w:pPr>
              <w:widowControl/>
              <w:adjustRightInd/>
              <w:snapToGrid/>
              <w:spacing w:line="240" w:lineRule="auto"/>
              <w:ind w:firstLine="0" w:firstLineChars="0"/>
              <w:jc w:val="center"/>
              <w:rPr>
                <w:rFonts w:hint="eastAsia" w:ascii="仿宋" w:hAnsi="仿宋" w:eastAsia="仿宋" w:cs="仿宋"/>
                <w:color w:val="auto"/>
                <w:kern w:val="0"/>
                <w:sz w:val="24"/>
                <w:highlight w:val="none"/>
                <w:lang w:eastAsia="zh-CN"/>
              </w:rPr>
            </w:pPr>
            <w:r>
              <w:rPr>
                <w:rFonts w:hint="eastAsia" w:ascii="仿宋" w:hAnsi="仿宋" w:eastAsia="仿宋" w:cs="仿宋"/>
                <w:color w:val="auto"/>
                <w:kern w:val="0"/>
                <w:sz w:val="24"/>
                <w:highlight w:val="none"/>
                <w:lang w:eastAsia="zh-CN"/>
              </w:rPr>
              <w:t>保养小修</w:t>
            </w:r>
          </w:p>
        </w:tc>
      </w:tr>
    </w:tbl>
    <w:p w14:paraId="0B2FEF2F">
      <w:pPr>
        <w:pStyle w:val="296"/>
        <w:rPr>
          <w:rFonts w:hint="eastAsia" w:ascii="仿宋" w:hAnsi="仿宋" w:eastAsia="仿宋" w:cs="仿宋"/>
          <w:color w:val="auto"/>
          <w:highlight w:val="none"/>
        </w:rPr>
      </w:pPr>
    </w:p>
    <w:p w14:paraId="643D8DA1">
      <w:pPr>
        <w:keepNext/>
        <w:keepLines/>
        <w:pageBreakBefore w:val="0"/>
        <w:widowControl w:val="0"/>
        <w:numPr>
          <w:ilvl w:val="0"/>
          <w:numId w:val="0"/>
        </w:numPr>
        <w:kinsoku/>
        <w:wordWrap/>
        <w:overflowPunct/>
        <w:topLinePunct w:val="0"/>
        <w:autoSpaceDE/>
        <w:autoSpaceDN/>
        <w:bidi w:val="0"/>
        <w:adjustRightInd w:val="0"/>
        <w:snapToGrid w:val="0"/>
        <w:ind w:leftChars="0" w:firstLine="480" w:firstLineChars="200"/>
        <w:jc w:val="left"/>
        <w:textAlignment w:val="auto"/>
        <w:outlineLvl w:val="2"/>
        <w:rPr>
          <w:rFonts w:hint="eastAsia" w:ascii="仿宋" w:hAnsi="仿宋" w:eastAsia="仿宋" w:cs="仿宋"/>
          <w:b w:val="0"/>
          <w:bCs w:val="0"/>
          <w:color w:val="auto"/>
          <w:szCs w:val="32"/>
          <w:highlight w:val="none"/>
        </w:rPr>
      </w:pPr>
      <w:bookmarkStart w:id="58" w:name="_Toc478467993"/>
      <w:bookmarkStart w:id="59" w:name="_Toc472931812"/>
      <w:bookmarkStart w:id="60" w:name="_Toc472939860"/>
      <w:r>
        <w:rPr>
          <w:rFonts w:hint="eastAsia" w:ascii="仿宋" w:hAnsi="仿宋" w:eastAsia="仿宋" w:cs="仿宋"/>
          <w:b w:val="0"/>
          <w:bCs w:val="0"/>
          <w:color w:val="auto"/>
          <w:szCs w:val="32"/>
          <w:highlight w:val="none"/>
          <w:lang w:eastAsia="zh-CN"/>
        </w:rPr>
        <w:t>（</w:t>
      </w:r>
      <w:r>
        <w:rPr>
          <w:rFonts w:hint="eastAsia" w:ascii="仿宋" w:hAnsi="仿宋" w:eastAsia="仿宋" w:cs="仿宋"/>
          <w:b w:val="0"/>
          <w:bCs w:val="0"/>
          <w:color w:val="auto"/>
          <w:szCs w:val="32"/>
          <w:highlight w:val="none"/>
          <w:lang w:val="en-US" w:eastAsia="zh-CN"/>
        </w:rPr>
        <w:t>2</w:t>
      </w:r>
      <w:r>
        <w:rPr>
          <w:rFonts w:hint="eastAsia" w:ascii="仿宋" w:hAnsi="仿宋" w:eastAsia="仿宋" w:cs="仿宋"/>
          <w:b w:val="0"/>
          <w:bCs w:val="0"/>
          <w:color w:val="auto"/>
          <w:szCs w:val="32"/>
          <w:highlight w:val="none"/>
          <w:lang w:eastAsia="zh-CN"/>
        </w:rPr>
        <w:t>）</w:t>
      </w:r>
      <w:r>
        <w:rPr>
          <w:rFonts w:hint="eastAsia" w:ascii="仿宋" w:hAnsi="仿宋" w:eastAsia="仿宋" w:cs="仿宋"/>
          <w:b w:val="0"/>
          <w:bCs w:val="0"/>
          <w:color w:val="auto"/>
          <w:szCs w:val="32"/>
          <w:highlight w:val="none"/>
        </w:rPr>
        <w:t>路面行驶质量指数（RQI）</w:t>
      </w:r>
      <w:bookmarkEnd w:id="58"/>
      <w:bookmarkEnd w:id="59"/>
      <w:bookmarkEnd w:id="60"/>
    </w:p>
    <w:p w14:paraId="59348124">
      <w:pPr>
        <w:rPr>
          <w:rFonts w:hint="eastAsia" w:ascii="仿宋" w:hAnsi="仿宋" w:eastAsia="仿宋" w:cs="仿宋"/>
          <w:color w:val="auto"/>
          <w:highlight w:val="none"/>
        </w:rPr>
      </w:pPr>
      <w:r>
        <w:rPr>
          <w:rFonts w:hint="eastAsia" w:ascii="仿宋" w:hAnsi="仿宋" w:eastAsia="仿宋" w:cs="仿宋"/>
          <w:color w:val="auto"/>
          <w:highlight w:val="none"/>
        </w:rPr>
        <w:t>平整度关系到行车的安全，舒适以及路面所受冲击力的大小和使用寿命，不平整的路表面会增大行车阻力，并使车辆产生附加的振动作用。这种振动作用会造成行车颠簸，影响行车的速度和安全，影响驾驶的平稳和乘客的舒适。同时振动作用还会对路面施加冲击力，从而加剧路面和汽车机件的损坏和轮胎的磨损，并增大油料的消耗，而且不平整的路面还会积滞雨水，加速路面的损坏。由于挖补后路面与原路面搭接不平整、部分路段出现跳车现象、路面横缝灌缝过多导致该路面平整度达不到要求。</w:t>
      </w:r>
    </w:p>
    <w:p w14:paraId="2E7892C4">
      <w:pPr>
        <w:rPr>
          <w:rFonts w:hint="eastAsia" w:ascii="仿宋" w:hAnsi="仿宋" w:eastAsia="仿宋" w:cs="仿宋"/>
          <w:color w:val="auto"/>
          <w:highlight w:val="none"/>
        </w:rPr>
      </w:pPr>
      <w:r>
        <w:rPr>
          <w:rFonts w:hint="eastAsia" w:ascii="仿宋" w:hAnsi="仿宋" w:eastAsia="仿宋" w:cs="仿宋"/>
          <w:color w:val="auto"/>
          <w:highlight w:val="none"/>
        </w:rPr>
        <w:t>路面行驶质量指数（RQI）及国际平整度指数（IRI）</w:t>
      </w:r>
    </w:p>
    <w:p w14:paraId="2FFF65A4">
      <w:pPr>
        <w:pStyle w:val="296"/>
        <w:rPr>
          <w:rFonts w:hint="eastAsia" w:ascii="仿宋" w:hAnsi="仿宋" w:eastAsia="仿宋" w:cs="仿宋"/>
          <w:color w:val="auto"/>
          <w:highlight w:val="none"/>
        </w:rPr>
      </w:pPr>
      <w:r>
        <w:rPr>
          <w:rFonts w:hint="eastAsia" w:ascii="仿宋" w:hAnsi="仿宋" w:eastAsia="仿宋" w:cs="仿宋"/>
          <w:color w:val="auto"/>
          <w:highlight w:val="none"/>
        </w:rPr>
        <w:drawing>
          <wp:inline distT="0" distB="0" distL="114300" distR="114300">
            <wp:extent cx="2200275" cy="294640"/>
            <wp:effectExtent l="0" t="0" r="9525" b="1016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4"/>
                    <a:stretch>
                      <a:fillRect/>
                    </a:stretch>
                  </pic:blipFill>
                  <pic:spPr>
                    <a:xfrm>
                      <a:off x="0" y="0"/>
                      <a:ext cx="2200275" cy="294757"/>
                    </a:xfrm>
                    <a:prstGeom prst="rect">
                      <a:avLst/>
                    </a:prstGeom>
                    <a:noFill/>
                    <a:ln>
                      <a:noFill/>
                    </a:ln>
                  </pic:spPr>
                </pic:pic>
              </a:graphicData>
            </a:graphic>
          </wp:inline>
        </w:drawing>
      </w:r>
    </w:p>
    <w:p w14:paraId="35225491">
      <w:pPr>
        <w:rPr>
          <w:rFonts w:hint="eastAsia" w:ascii="仿宋" w:hAnsi="仿宋" w:eastAsia="仿宋" w:cs="仿宋"/>
          <w:color w:val="auto"/>
          <w:highlight w:val="none"/>
        </w:rPr>
      </w:pPr>
      <w:r>
        <w:rPr>
          <w:rFonts w:hint="eastAsia" w:ascii="仿宋" w:hAnsi="仿宋" w:eastAsia="仿宋" w:cs="仿宋"/>
          <w:color w:val="auto"/>
          <w:highlight w:val="none"/>
        </w:rPr>
        <w:t>式中：RQI——路面行驶质量指数；</w:t>
      </w:r>
    </w:p>
    <w:p w14:paraId="2BDE2DDA">
      <w:pPr>
        <w:rPr>
          <w:rFonts w:hint="eastAsia" w:ascii="仿宋" w:hAnsi="仿宋" w:eastAsia="仿宋" w:cs="仿宋"/>
          <w:color w:val="auto"/>
          <w:highlight w:val="none"/>
        </w:rPr>
      </w:pPr>
      <w:r>
        <w:rPr>
          <w:rFonts w:hint="eastAsia" w:ascii="仿宋" w:hAnsi="仿宋" w:eastAsia="仿宋" w:cs="仿宋"/>
          <w:color w:val="auto"/>
          <w:highlight w:val="none"/>
        </w:rPr>
        <w:t>IRI——国际平整度指数（m/km）；</w:t>
      </w:r>
    </w:p>
    <w:p w14:paraId="3FBCE133">
      <w:pPr>
        <w:rPr>
          <w:rFonts w:hint="eastAsia" w:ascii="仿宋" w:hAnsi="仿宋" w:eastAsia="仿宋" w:cs="仿宋"/>
          <w:color w:val="auto"/>
          <w:highlight w:val="none"/>
        </w:rPr>
      </w:pPr>
      <w:r>
        <w:rPr>
          <w:rFonts w:hint="eastAsia" w:ascii="仿宋" w:hAnsi="仿宋" w:eastAsia="仿宋" w:cs="仿宋"/>
          <w:color w:val="auto"/>
          <w:highlight w:val="none"/>
        </w:rPr>
        <w:t>《城镇道路养护技术规范》（CJJ36-2016）中对路面平整度的评价采用行驶质量指数RQI，RQI值的范围为0-100，值越大，说明路面行驶质量越好，行车越舒适。行驶质量指数（RQI）及评价等级见下表：</w:t>
      </w:r>
    </w:p>
    <w:p w14:paraId="5F5216C4">
      <w:pPr>
        <w:pStyle w:val="296"/>
        <w:rPr>
          <w:rFonts w:hint="eastAsia" w:ascii="仿宋" w:hAnsi="仿宋" w:eastAsia="仿宋" w:cs="仿宋"/>
          <w:color w:val="auto"/>
          <w:highlight w:val="none"/>
        </w:rPr>
      </w:pPr>
      <w:r>
        <w:rPr>
          <w:rFonts w:hint="eastAsia" w:ascii="仿宋" w:hAnsi="仿宋" w:eastAsia="仿宋" w:cs="仿宋"/>
          <w:color w:val="auto"/>
          <w:highlight w:val="none"/>
        </w:rPr>
        <w:t>路面行驶质量指数RQI一览表</w:t>
      </w:r>
    </w:p>
    <w:tbl>
      <w:tblPr>
        <w:tblStyle w:val="88"/>
        <w:tblW w:w="0" w:type="auto"/>
        <w:jc w:val="center"/>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CellMar>
          <w:top w:w="0" w:type="dxa"/>
          <w:left w:w="108" w:type="dxa"/>
          <w:bottom w:w="0" w:type="dxa"/>
          <w:right w:w="108" w:type="dxa"/>
        </w:tblCellMar>
      </w:tblPr>
      <w:tblGrid>
        <w:gridCol w:w="395"/>
        <w:gridCol w:w="1299"/>
        <w:gridCol w:w="2347"/>
        <w:gridCol w:w="1075"/>
        <w:gridCol w:w="1206"/>
        <w:gridCol w:w="1235"/>
        <w:gridCol w:w="1269"/>
        <w:gridCol w:w="1451"/>
      </w:tblGrid>
      <w:tr w14:paraId="3F9E4B65">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12" w:hRule="atLeast"/>
          <w:tblHeader/>
          <w:jc w:val="center"/>
        </w:trPr>
        <w:tc>
          <w:tcPr>
            <w:tcW w:w="39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DD60FD1">
            <w:pPr>
              <w:pStyle w:val="296"/>
              <w:rPr>
                <w:rFonts w:hint="eastAsia" w:ascii="仿宋" w:hAnsi="仿宋" w:eastAsia="仿宋" w:cs="仿宋"/>
                <w:color w:val="auto"/>
                <w:highlight w:val="none"/>
              </w:rPr>
            </w:pPr>
            <w:r>
              <w:rPr>
                <w:rFonts w:hint="eastAsia" w:ascii="仿宋" w:hAnsi="仿宋" w:eastAsia="仿宋" w:cs="仿宋"/>
                <w:color w:val="auto"/>
                <w:highlight w:val="none"/>
              </w:rPr>
              <w:t>序号</w:t>
            </w:r>
          </w:p>
        </w:tc>
        <w:tc>
          <w:tcPr>
            <w:tcW w:w="1299"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8EDCE78">
            <w:pPr>
              <w:pStyle w:val="296"/>
              <w:rPr>
                <w:rFonts w:hint="eastAsia" w:ascii="仿宋" w:hAnsi="仿宋" w:eastAsia="仿宋" w:cs="仿宋"/>
                <w:color w:val="auto"/>
                <w:highlight w:val="none"/>
              </w:rPr>
            </w:pPr>
            <w:r>
              <w:rPr>
                <w:rFonts w:hint="eastAsia" w:ascii="仿宋" w:hAnsi="仿宋" w:eastAsia="仿宋" w:cs="仿宋"/>
                <w:color w:val="auto"/>
                <w:highlight w:val="none"/>
              </w:rPr>
              <w:t>路段名称</w:t>
            </w:r>
          </w:p>
        </w:tc>
        <w:tc>
          <w:tcPr>
            <w:tcW w:w="234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A42AC6C">
            <w:pPr>
              <w:pStyle w:val="296"/>
              <w:rPr>
                <w:rFonts w:hint="eastAsia" w:ascii="仿宋" w:hAnsi="仿宋" w:eastAsia="仿宋" w:cs="仿宋"/>
                <w:color w:val="auto"/>
                <w:highlight w:val="none"/>
              </w:rPr>
            </w:pPr>
            <w:r>
              <w:rPr>
                <w:rFonts w:hint="eastAsia" w:ascii="仿宋" w:hAnsi="仿宋" w:eastAsia="仿宋" w:cs="仿宋"/>
                <w:color w:val="auto"/>
                <w:highlight w:val="none"/>
              </w:rPr>
              <w:t>改造范围</w:t>
            </w:r>
          </w:p>
        </w:tc>
        <w:tc>
          <w:tcPr>
            <w:tcW w:w="107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9D431B8">
            <w:pPr>
              <w:pStyle w:val="296"/>
              <w:rPr>
                <w:rFonts w:hint="eastAsia" w:ascii="仿宋" w:hAnsi="仿宋" w:eastAsia="仿宋" w:cs="仿宋"/>
                <w:color w:val="auto"/>
                <w:highlight w:val="none"/>
              </w:rPr>
            </w:pPr>
            <w:r>
              <w:rPr>
                <w:rFonts w:hint="eastAsia" w:ascii="仿宋" w:hAnsi="仿宋" w:eastAsia="仿宋" w:cs="仿宋"/>
                <w:color w:val="auto"/>
                <w:highlight w:val="none"/>
              </w:rPr>
              <w:t>长度（m）</w:t>
            </w:r>
          </w:p>
        </w:tc>
        <w:tc>
          <w:tcPr>
            <w:tcW w:w="120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FEF3C47">
            <w:pPr>
              <w:pStyle w:val="296"/>
              <w:rPr>
                <w:rFonts w:hint="eastAsia" w:ascii="仿宋" w:hAnsi="仿宋" w:eastAsia="仿宋" w:cs="仿宋"/>
                <w:color w:val="auto"/>
                <w:highlight w:val="none"/>
              </w:rPr>
            </w:pPr>
            <w:r>
              <w:rPr>
                <w:rFonts w:hint="eastAsia" w:ascii="仿宋" w:hAnsi="仿宋" w:eastAsia="仿宋" w:cs="仿宋"/>
                <w:color w:val="auto"/>
                <w:highlight w:val="none"/>
              </w:rPr>
              <w:t>路面类型</w:t>
            </w:r>
          </w:p>
        </w:tc>
        <w:tc>
          <w:tcPr>
            <w:tcW w:w="123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79EC5C3">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rPr>
              <w:t>路面</w:t>
            </w:r>
            <w:r>
              <w:rPr>
                <w:rFonts w:hint="eastAsia" w:ascii="仿宋" w:hAnsi="仿宋" w:eastAsia="仿宋" w:cs="仿宋"/>
                <w:color w:val="auto"/>
                <w:highlight w:val="none"/>
                <w:lang w:eastAsia="zh-CN"/>
              </w:rPr>
              <w:t>行驶</w:t>
            </w:r>
            <w:r>
              <w:rPr>
                <w:rFonts w:hint="eastAsia" w:ascii="仿宋" w:hAnsi="仿宋" w:eastAsia="仿宋" w:cs="仿宋"/>
                <w:color w:val="auto"/>
                <w:highlight w:val="none"/>
              </w:rPr>
              <w:t>指数</w:t>
            </w:r>
            <w:r>
              <w:rPr>
                <w:rFonts w:hint="eastAsia" w:ascii="仿宋" w:hAnsi="仿宋" w:eastAsia="仿宋" w:cs="仿宋"/>
                <w:color w:val="auto"/>
                <w:highlight w:val="none"/>
                <w:lang w:val="en-US" w:eastAsia="zh-CN"/>
              </w:rPr>
              <w:t>RQI</w:t>
            </w:r>
          </w:p>
        </w:tc>
        <w:tc>
          <w:tcPr>
            <w:tcW w:w="1269"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23DE697">
            <w:pPr>
              <w:pStyle w:val="296"/>
              <w:rPr>
                <w:rFonts w:hint="eastAsia" w:ascii="仿宋" w:hAnsi="仿宋" w:eastAsia="仿宋" w:cs="仿宋"/>
                <w:color w:val="auto"/>
                <w:highlight w:val="none"/>
              </w:rPr>
            </w:pPr>
            <w:r>
              <w:rPr>
                <w:rFonts w:hint="eastAsia" w:ascii="仿宋" w:hAnsi="仿宋" w:eastAsia="仿宋" w:cs="仿宋"/>
                <w:color w:val="auto"/>
                <w:highlight w:val="none"/>
              </w:rPr>
              <w:t>路面</w:t>
            </w:r>
            <w:r>
              <w:rPr>
                <w:rFonts w:hint="eastAsia" w:ascii="仿宋" w:hAnsi="仿宋" w:eastAsia="仿宋" w:cs="仿宋"/>
                <w:color w:val="auto"/>
                <w:highlight w:val="none"/>
                <w:lang w:eastAsia="zh-CN"/>
              </w:rPr>
              <w:t>行驶质量</w:t>
            </w:r>
            <w:r>
              <w:rPr>
                <w:rFonts w:hint="eastAsia" w:ascii="仿宋" w:hAnsi="仿宋" w:eastAsia="仿宋" w:cs="仿宋"/>
                <w:color w:val="auto"/>
                <w:highlight w:val="none"/>
              </w:rPr>
              <w:t>等级</w:t>
            </w:r>
          </w:p>
        </w:tc>
        <w:tc>
          <w:tcPr>
            <w:tcW w:w="145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6E05D14">
            <w:pPr>
              <w:pStyle w:val="296"/>
              <w:rPr>
                <w:rFonts w:hint="eastAsia" w:ascii="仿宋" w:hAnsi="仿宋" w:eastAsia="仿宋" w:cs="仿宋"/>
                <w:color w:val="auto"/>
                <w:highlight w:val="none"/>
              </w:rPr>
            </w:pPr>
            <w:r>
              <w:rPr>
                <w:rFonts w:hint="eastAsia" w:ascii="仿宋" w:hAnsi="仿宋" w:eastAsia="仿宋" w:cs="仿宋"/>
                <w:color w:val="auto"/>
                <w:highlight w:val="none"/>
              </w:rPr>
              <w:t>维修养护措施</w:t>
            </w:r>
          </w:p>
        </w:tc>
      </w:tr>
      <w:tr w14:paraId="0F10F84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352" w:hRule="atLeast"/>
          <w:jc w:val="center"/>
        </w:trPr>
        <w:tc>
          <w:tcPr>
            <w:tcW w:w="39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8ACA35C">
            <w:pPr>
              <w:widowControl/>
              <w:adjustRightInd/>
              <w:snapToGrid/>
              <w:spacing w:line="240" w:lineRule="auto"/>
              <w:ind w:firstLine="0" w:firstLineChars="0"/>
              <w:jc w:val="center"/>
              <w:rPr>
                <w:rFonts w:hint="eastAsia"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0"/>
                <w:sz w:val="24"/>
                <w:highlight w:val="none"/>
                <w:lang w:val="en-US" w:eastAsia="zh-CN"/>
              </w:rPr>
              <w:t>1</w:t>
            </w:r>
          </w:p>
        </w:tc>
        <w:tc>
          <w:tcPr>
            <w:tcW w:w="1299"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23AE022">
            <w:pPr>
              <w:widowControl/>
              <w:adjustRightInd/>
              <w:snapToGrid/>
              <w:spacing w:line="240" w:lineRule="auto"/>
              <w:ind w:firstLine="0" w:firstLineChars="0"/>
              <w:jc w:val="center"/>
              <w:rPr>
                <w:rFonts w:hint="eastAsia"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0"/>
                <w:sz w:val="24"/>
                <w:highlight w:val="none"/>
                <w:lang w:eastAsia="zh-CN"/>
              </w:rPr>
              <w:t>广茂大道</w:t>
            </w:r>
          </w:p>
        </w:tc>
        <w:tc>
          <w:tcPr>
            <w:tcW w:w="234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D5C7185">
            <w:pPr>
              <w:widowControl/>
              <w:adjustRightInd/>
              <w:snapToGrid/>
              <w:spacing w:line="240" w:lineRule="auto"/>
              <w:ind w:firstLine="0" w:firstLineChars="0"/>
              <w:jc w:val="center"/>
              <w:rPr>
                <w:rFonts w:hint="default"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0"/>
                <w:sz w:val="24"/>
                <w:highlight w:val="none"/>
                <w:lang w:val="en-US" w:eastAsia="zh-CN"/>
              </w:rPr>
              <w:t>K0+47.19~K1+080</w:t>
            </w:r>
          </w:p>
        </w:tc>
        <w:tc>
          <w:tcPr>
            <w:tcW w:w="107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D1684B9">
            <w:pPr>
              <w:widowControl/>
              <w:adjustRightInd/>
              <w:snapToGrid/>
              <w:spacing w:line="240" w:lineRule="auto"/>
              <w:ind w:firstLine="0" w:firstLineChars="0"/>
              <w:jc w:val="center"/>
              <w:rPr>
                <w:rFonts w:hint="default"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0"/>
                <w:sz w:val="24"/>
                <w:highlight w:val="none"/>
                <w:lang w:val="en-US" w:eastAsia="zh-CN"/>
              </w:rPr>
              <w:t>1032.81</w:t>
            </w:r>
          </w:p>
        </w:tc>
        <w:tc>
          <w:tcPr>
            <w:tcW w:w="120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1E086BB">
            <w:pPr>
              <w:widowControl/>
              <w:adjustRightInd/>
              <w:snapToGrid/>
              <w:spacing w:line="240" w:lineRule="auto"/>
              <w:ind w:firstLine="0" w:firstLineChars="0"/>
              <w:jc w:val="center"/>
              <w:rPr>
                <w:rFonts w:hint="eastAsia"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0"/>
                <w:sz w:val="24"/>
                <w:highlight w:val="none"/>
              </w:rPr>
              <w:t>沥青</w:t>
            </w:r>
            <w:r>
              <w:rPr>
                <w:rFonts w:hint="eastAsia" w:ascii="仿宋" w:hAnsi="仿宋" w:eastAsia="仿宋" w:cs="仿宋"/>
                <w:color w:val="auto"/>
                <w:kern w:val="0"/>
                <w:sz w:val="24"/>
                <w:highlight w:val="none"/>
                <w:lang w:eastAsia="zh-CN"/>
              </w:rPr>
              <w:t>砼</w:t>
            </w:r>
          </w:p>
        </w:tc>
        <w:tc>
          <w:tcPr>
            <w:tcW w:w="123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22867E8">
            <w:pPr>
              <w:widowControl/>
              <w:adjustRightInd/>
              <w:snapToGrid/>
              <w:spacing w:line="240" w:lineRule="auto"/>
              <w:ind w:firstLine="0" w:firstLineChars="0"/>
              <w:jc w:val="center"/>
              <w:rPr>
                <w:rFonts w:hint="default"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0"/>
                <w:sz w:val="24"/>
                <w:highlight w:val="none"/>
                <w:lang w:val="en-US" w:eastAsia="zh-CN"/>
              </w:rPr>
              <w:t>2.94</w:t>
            </w:r>
          </w:p>
        </w:tc>
        <w:tc>
          <w:tcPr>
            <w:tcW w:w="1269"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9A30882">
            <w:pPr>
              <w:widowControl/>
              <w:adjustRightInd/>
              <w:snapToGrid/>
              <w:spacing w:line="240" w:lineRule="auto"/>
              <w:ind w:firstLine="0" w:firstLineChars="0"/>
              <w:jc w:val="center"/>
              <w:rPr>
                <w:rFonts w:hint="eastAsia"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0"/>
                <w:sz w:val="24"/>
                <w:highlight w:val="none"/>
                <w:lang w:val="en-US" w:eastAsia="zh-CN"/>
              </w:rPr>
              <w:t>C</w:t>
            </w:r>
          </w:p>
        </w:tc>
        <w:tc>
          <w:tcPr>
            <w:tcW w:w="145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567F623">
            <w:pPr>
              <w:widowControl/>
              <w:adjustRightInd/>
              <w:snapToGrid/>
              <w:spacing w:line="240" w:lineRule="auto"/>
              <w:ind w:firstLine="0" w:firstLineChars="0"/>
              <w:jc w:val="center"/>
              <w:rPr>
                <w:rFonts w:hint="eastAsia"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0"/>
                <w:sz w:val="24"/>
                <w:highlight w:val="none"/>
                <w:lang w:eastAsia="zh-CN"/>
              </w:rPr>
              <w:t>中修</w:t>
            </w:r>
          </w:p>
        </w:tc>
      </w:tr>
      <w:tr w14:paraId="1ACDB8E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321" w:hRule="atLeast"/>
          <w:jc w:val="center"/>
        </w:trPr>
        <w:tc>
          <w:tcPr>
            <w:tcW w:w="39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85D1E28">
            <w:pPr>
              <w:widowControl/>
              <w:adjustRightInd/>
              <w:snapToGrid/>
              <w:spacing w:line="240" w:lineRule="auto"/>
              <w:ind w:firstLine="0" w:firstLineChars="0"/>
              <w:jc w:val="center"/>
              <w:rPr>
                <w:rFonts w:hint="default"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2</w:t>
            </w:r>
          </w:p>
        </w:tc>
        <w:tc>
          <w:tcPr>
            <w:tcW w:w="1299"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27B91AA">
            <w:pPr>
              <w:widowControl/>
              <w:adjustRightInd/>
              <w:snapToGrid/>
              <w:spacing w:line="240" w:lineRule="auto"/>
              <w:ind w:firstLine="0" w:firstLineChars="0"/>
              <w:jc w:val="center"/>
              <w:rPr>
                <w:rFonts w:hint="eastAsia" w:ascii="仿宋" w:hAnsi="仿宋" w:eastAsia="仿宋" w:cs="仿宋"/>
                <w:color w:val="auto"/>
                <w:kern w:val="0"/>
                <w:sz w:val="24"/>
                <w:highlight w:val="none"/>
                <w:lang w:eastAsia="zh-CN"/>
              </w:rPr>
            </w:pPr>
            <w:r>
              <w:rPr>
                <w:rFonts w:hint="eastAsia" w:ascii="仿宋" w:hAnsi="仿宋" w:eastAsia="仿宋" w:cs="仿宋"/>
                <w:color w:val="auto"/>
                <w:kern w:val="0"/>
                <w:sz w:val="24"/>
                <w:highlight w:val="none"/>
                <w:lang w:eastAsia="zh-CN"/>
              </w:rPr>
              <w:t>广茂大道</w:t>
            </w:r>
          </w:p>
        </w:tc>
        <w:tc>
          <w:tcPr>
            <w:tcW w:w="234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C669421">
            <w:pPr>
              <w:widowControl/>
              <w:adjustRightInd/>
              <w:snapToGrid/>
              <w:spacing w:line="240" w:lineRule="auto"/>
              <w:ind w:firstLine="0" w:firstLineChars="0"/>
              <w:jc w:val="center"/>
              <w:rPr>
                <w:rFonts w:hint="default"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K1+080~K1+190</w:t>
            </w:r>
          </w:p>
        </w:tc>
        <w:tc>
          <w:tcPr>
            <w:tcW w:w="107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807782F">
            <w:pPr>
              <w:widowControl/>
              <w:adjustRightInd/>
              <w:snapToGrid/>
              <w:spacing w:line="240" w:lineRule="auto"/>
              <w:ind w:firstLine="0" w:firstLineChars="0"/>
              <w:jc w:val="center"/>
              <w:rPr>
                <w:rFonts w:hint="default"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200</w:t>
            </w:r>
          </w:p>
        </w:tc>
        <w:tc>
          <w:tcPr>
            <w:tcW w:w="120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E05A1A4">
            <w:pPr>
              <w:widowControl/>
              <w:adjustRightInd/>
              <w:snapToGrid/>
              <w:spacing w:line="240" w:lineRule="auto"/>
              <w:ind w:firstLine="0" w:firstLineChars="0"/>
              <w:jc w:val="center"/>
              <w:rPr>
                <w:rFonts w:hint="eastAsia" w:ascii="仿宋" w:hAnsi="仿宋" w:eastAsia="仿宋" w:cs="仿宋"/>
                <w:color w:val="auto"/>
                <w:kern w:val="0"/>
                <w:sz w:val="24"/>
                <w:highlight w:val="none"/>
              </w:rPr>
            </w:pPr>
            <w:r>
              <w:rPr>
                <w:rFonts w:hint="eastAsia" w:ascii="仿宋" w:hAnsi="仿宋" w:eastAsia="仿宋" w:cs="仿宋"/>
                <w:color w:val="auto"/>
                <w:kern w:val="0"/>
                <w:sz w:val="24"/>
                <w:highlight w:val="none"/>
              </w:rPr>
              <w:t>沥青</w:t>
            </w:r>
            <w:r>
              <w:rPr>
                <w:rFonts w:hint="eastAsia" w:ascii="仿宋" w:hAnsi="仿宋" w:eastAsia="仿宋" w:cs="仿宋"/>
                <w:color w:val="auto"/>
                <w:kern w:val="0"/>
                <w:sz w:val="24"/>
                <w:highlight w:val="none"/>
                <w:lang w:eastAsia="zh-CN"/>
              </w:rPr>
              <w:t>砼</w:t>
            </w:r>
          </w:p>
        </w:tc>
        <w:tc>
          <w:tcPr>
            <w:tcW w:w="123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D34222D">
            <w:pPr>
              <w:widowControl/>
              <w:adjustRightInd/>
              <w:snapToGrid/>
              <w:spacing w:line="240" w:lineRule="auto"/>
              <w:ind w:firstLine="0" w:firstLineChars="0"/>
              <w:jc w:val="center"/>
              <w:rPr>
                <w:rFonts w:hint="eastAsia"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 xml:space="preserve">0.9 </w:t>
            </w:r>
          </w:p>
        </w:tc>
        <w:tc>
          <w:tcPr>
            <w:tcW w:w="1269"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F42321F">
            <w:pPr>
              <w:widowControl/>
              <w:adjustRightInd/>
              <w:snapToGrid/>
              <w:spacing w:line="240" w:lineRule="auto"/>
              <w:ind w:firstLine="0" w:firstLineChars="0"/>
              <w:jc w:val="center"/>
              <w:rPr>
                <w:rFonts w:hint="eastAsia"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D</w:t>
            </w:r>
          </w:p>
        </w:tc>
        <w:tc>
          <w:tcPr>
            <w:tcW w:w="145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A5B460A">
            <w:pPr>
              <w:widowControl/>
              <w:adjustRightInd/>
              <w:snapToGrid/>
              <w:spacing w:line="240" w:lineRule="auto"/>
              <w:ind w:firstLine="0" w:firstLineChars="0"/>
              <w:jc w:val="center"/>
              <w:rPr>
                <w:rFonts w:hint="eastAsia" w:ascii="仿宋" w:hAnsi="仿宋" w:eastAsia="仿宋" w:cs="仿宋"/>
                <w:color w:val="auto"/>
                <w:kern w:val="0"/>
                <w:sz w:val="24"/>
                <w:highlight w:val="none"/>
                <w:lang w:eastAsia="zh-CN"/>
              </w:rPr>
            </w:pPr>
            <w:r>
              <w:rPr>
                <w:rFonts w:hint="eastAsia" w:ascii="仿宋" w:hAnsi="仿宋" w:eastAsia="仿宋" w:cs="仿宋"/>
                <w:color w:val="auto"/>
                <w:kern w:val="0"/>
                <w:sz w:val="24"/>
                <w:highlight w:val="none"/>
                <w:lang w:eastAsia="zh-CN"/>
              </w:rPr>
              <w:t>大修</w:t>
            </w:r>
          </w:p>
        </w:tc>
      </w:tr>
      <w:tr w14:paraId="244DCD4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395" w:hRule="atLeast"/>
          <w:jc w:val="center"/>
        </w:trPr>
        <w:tc>
          <w:tcPr>
            <w:tcW w:w="39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6E353FF">
            <w:pPr>
              <w:widowControl/>
              <w:adjustRightInd/>
              <w:snapToGrid/>
              <w:spacing w:line="240" w:lineRule="auto"/>
              <w:ind w:firstLine="0" w:firstLineChars="0"/>
              <w:jc w:val="center"/>
              <w:rPr>
                <w:rFonts w:hint="default"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3</w:t>
            </w:r>
          </w:p>
        </w:tc>
        <w:tc>
          <w:tcPr>
            <w:tcW w:w="1299"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B4EF1D2">
            <w:pPr>
              <w:widowControl/>
              <w:adjustRightInd/>
              <w:snapToGrid/>
              <w:spacing w:line="240" w:lineRule="auto"/>
              <w:ind w:firstLine="0" w:firstLineChars="0"/>
              <w:jc w:val="center"/>
              <w:rPr>
                <w:rFonts w:hint="eastAsia" w:ascii="仿宋" w:hAnsi="仿宋" w:eastAsia="仿宋" w:cs="仿宋"/>
                <w:color w:val="auto"/>
                <w:kern w:val="0"/>
                <w:sz w:val="24"/>
                <w:highlight w:val="none"/>
                <w:lang w:eastAsia="zh-CN"/>
              </w:rPr>
            </w:pPr>
            <w:r>
              <w:rPr>
                <w:rFonts w:hint="eastAsia" w:ascii="仿宋" w:hAnsi="仿宋" w:eastAsia="仿宋" w:cs="仿宋"/>
                <w:color w:val="auto"/>
                <w:kern w:val="0"/>
                <w:sz w:val="24"/>
                <w:highlight w:val="none"/>
                <w:lang w:eastAsia="zh-CN"/>
              </w:rPr>
              <w:t>广茂大道</w:t>
            </w:r>
          </w:p>
        </w:tc>
        <w:tc>
          <w:tcPr>
            <w:tcW w:w="234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474C997">
            <w:pPr>
              <w:widowControl/>
              <w:adjustRightInd/>
              <w:snapToGrid/>
              <w:spacing w:line="240" w:lineRule="auto"/>
              <w:ind w:firstLine="0" w:firstLineChars="0"/>
              <w:jc w:val="center"/>
              <w:rPr>
                <w:rFonts w:hint="default"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K1+190~K1+556.52</w:t>
            </w:r>
          </w:p>
        </w:tc>
        <w:tc>
          <w:tcPr>
            <w:tcW w:w="107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137A7B8">
            <w:pPr>
              <w:widowControl/>
              <w:adjustRightInd/>
              <w:snapToGrid/>
              <w:spacing w:line="240" w:lineRule="auto"/>
              <w:ind w:firstLine="0" w:firstLineChars="0"/>
              <w:jc w:val="center"/>
              <w:rPr>
                <w:rFonts w:hint="default"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422</w:t>
            </w:r>
          </w:p>
        </w:tc>
        <w:tc>
          <w:tcPr>
            <w:tcW w:w="120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7981F49">
            <w:pPr>
              <w:widowControl/>
              <w:adjustRightInd/>
              <w:snapToGrid/>
              <w:spacing w:line="240" w:lineRule="auto"/>
              <w:ind w:firstLine="0" w:firstLineChars="0"/>
              <w:jc w:val="center"/>
              <w:rPr>
                <w:rFonts w:hint="eastAsia" w:ascii="仿宋" w:hAnsi="仿宋" w:eastAsia="仿宋" w:cs="仿宋"/>
                <w:color w:val="auto"/>
                <w:kern w:val="0"/>
                <w:sz w:val="24"/>
                <w:highlight w:val="none"/>
              </w:rPr>
            </w:pPr>
            <w:r>
              <w:rPr>
                <w:rFonts w:hint="eastAsia" w:ascii="仿宋" w:hAnsi="仿宋" w:eastAsia="仿宋" w:cs="仿宋"/>
                <w:color w:val="auto"/>
                <w:kern w:val="0"/>
                <w:sz w:val="24"/>
                <w:highlight w:val="none"/>
              </w:rPr>
              <w:t>沥青</w:t>
            </w:r>
            <w:r>
              <w:rPr>
                <w:rFonts w:hint="eastAsia" w:ascii="仿宋" w:hAnsi="仿宋" w:eastAsia="仿宋" w:cs="仿宋"/>
                <w:color w:val="auto"/>
                <w:kern w:val="0"/>
                <w:sz w:val="24"/>
                <w:highlight w:val="none"/>
                <w:lang w:eastAsia="zh-CN"/>
              </w:rPr>
              <w:t>砼</w:t>
            </w:r>
          </w:p>
        </w:tc>
        <w:tc>
          <w:tcPr>
            <w:tcW w:w="123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A1EE110">
            <w:pPr>
              <w:widowControl/>
              <w:adjustRightInd/>
              <w:snapToGrid/>
              <w:spacing w:line="240" w:lineRule="auto"/>
              <w:ind w:firstLine="0" w:firstLineChars="0"/>
              <w:jc w:val="center"/>
              <w:rPr>
                <w:rFonts w:hint="eastAsia"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 xml:space="preserve">4.13 </w:t>
            </w:r>
          </w:p>
        </w:tc>
        <w:tc>
          <w:tcPr>
            <w:tcW w:w="1269"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F365937">
            <w:pPr>
              <w:widowControl/>
              <w:adjustRightInd/>
              <w:snapToGrid/>
              <w:spacing w:line="240" w:lineRule="auto"/>
              <w:ind w:firstLine="0" w:firstLineChars="0"/>
              <w:jc w:val="center"/>
              <w:rPr>
                <w:rFonts w:hint="eastAsia"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lang w:val="en-US" w:eastAsia="zh-CN"/>
              </w:rPr>
              <w:t>A</w:t>
            </w:r>
          </w:p>
        </w:tc>
        <w:tc>
          <w:tcPr>
            <w:tcW w:w="145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17D5190">
            <w:pPr>
              <w:widowControl/>
              <w:adjustRightInd/>
              <w:snapToGrid/>
              <w:spacing w:line="240" w:lineRule="auto"/>
              <w:ind w:firstLine="0" w:firstLineChars="0"/>
              <w:jc w:val="center"/>
              <w:rPr>
                <w:rFonts w:hint="eastAsia" w:ascii="仿宋" w:hAnsi="仿宋" w:eastAsia="仿宋" w:cs="仿宋"/>
                <w:color w:val="auto"/>
                <w:kern w:val="0"/>
                <w:sz w:val="24"/>
                <w:highlight w:val="none"/>
                <w:lang w:eastAsia="zh-CN"/>
              </w:rPr>
            </w:pPr>
            <w:r>
              <w:rPr>
                <w:rFonts w:hint="eastAsia" w:ascii="仿宋" w:hAnsi="仿宋" w:eastAsia="仿宋" w:cs="仿宋"/>
                <w:color w:val="auto"/>
                <w:kern w:val="0"/>
                <w:sz w:val="24"/>
                <w:highlight w:val="none"/>
                <w:lang w:eastAsia="zh-CN"/>
              </w:rPr>
              <w:t>保养小修</w:t>
            </w:r>
          </w:p>
        </w:tc>
      </w:tr>
    </w:tbl>
    <w:p w14:paraId="250C1FD2">
      <w:pPr>
        <w:pStyle w:val="296"/>
        <w:rPr>
          <w:rFonts w:hint="eastAsia" w:ascii="仿宋" w:hAnsi="仿宋" w:eastAsia="仿宋" w:cs="仿宋"/>
          <w:color w:val="auto"/>
          <w:highlight w:val="none"/>
        </w:rPr>
      </w:pPr>
    </w:p>
    <w:p w14:paraId="7D500EA7">
      <w:pPr>
        <w:rPr>
          <w:rFonts w:hint="eastAsia" w:ascii="仿宋" w:hAnsi="仿宋" w:eastAsia="仿宋" w:cs="仿宋"/>
          <w:color w:val="auto"/>
          <w:highlight w:val="none"/>
        </w:rPr>
      </w:pPr>
      <w:r>
        <w:rPr>
          <w:rFonts w:hint="eastAsia" w:ascii="仿宋" w:hAnsi="仿宋" w:eastAsia="仿宋" w:cs="仿宋"/>
          <w:color w:val="auto"/>
          <w:highlight w:val="none"/>
        </w:rPr>
        <w:t>路面车辙指数检测及评定结果显示：</w:t>
      </w:r>
    </w:p>
    <w:p w14:paraId="6D6BA1A2">
      <w:pPr>
        <w:rPr>
          <w:rFonts w:hint="eastAsia" w:ascii="仿宋" w:hAnsi="仿宋" w:eastAsia="仿宋" w:cs="仿宋"/>
          <w:color w:val="auto"/>
          <w:highlight w:val="none"/>
        </w:rPr>
      </w:pPr>
      <w:r>
        <w:rPr>
          <w:rFonts w:hint="eastAsia" w:ascii="仿宋" w:hAnsi="仿宋" w:eastAsia="仿宋" w:cs="仿宋"/>
          <w:color w:val="auto"/>
          <w:highlight w:val="none"/>
        </w:rPr>
        <w:t>为了减少振动冲击力，提高行车速度和增进行车舒适性、安全性，路面改造工程需提高原路面平整度。根据《城镇道路养护技术规范》（CJJ36-2016）的规定路面行驶质量评价结果见上表可以看出：整体路段行驶质量质量以 “</w:t>
      </w:r>
      <w:r>
        <w:rPr>
          <w:rFonts w:hint="eastAsia" w:ascii="仿宋" w:hAnsi="仿宋" w:eastAsia="仿宋" w:cs="仿宋"/>
          <w:color w:val="auto"/>
          <w:highlight w:val="none"/>
          <w:lang w:val="en-US" w:eastAsia="zh-CN"/>
        </w:rPr>
        <w:t>D</w:t>
      </w:r>
      <w:r>
        <w:rPr>
          <w:rFonts w:hint="eastAsia" w:ascii="仿宋" w:hAnsi="仿宋" w:eastAsia="仿宋" w:cs="仿宋"/>
          <w:color w:val="auto"/>
          <w:highlight w:val="none"/>
        </w:rPr>
        <w:t>”为主，</w:t>
      </w:r>
      <w:r>
        <w:rPr>
          <w:rFonts w:hint="eastAsia" w:ascii="仿宋" w:hAnsi="仿宋" w:eastAsia="仿宋" w:cs="仿宋"/>
          <w:color w:val="auto"/>
          <w:highlight w:val="none"/>
          <w:lang w:eastAsia="zh-CN"/>
        </w:rPr>
        <w:t>路面结构强度不足</w:t>
      </w:r>
      <w:r>
        <w:rPr>
          <w:rFonts w:hint="eastAsia" w:ascii="仿宋" w:hAnsi="仿宋" w:eastAsia="仿宋" w:cs="仿宋"/>
          <w:color w:val="auto"/>
          <w:highlight w:val="none"/>
        </w:rPr>
        <w:t>。</w:t>
      </w:r>
    </w:p>
    <w:p w14:paraId="3ECCFF7D">
      <w:pPr>
        <w:rPr>
          <w:rFonts w:hint="eastAsia" w:ascii="仿宋" w:hAnsi="仿宋" w:eastAsia="仿宋" w:cs="仿宋"/>
          <w:color w:val="auto"/>
          <w:highlight w:val="none"/>
        </w:rPr>
      </w:pPr>
      <w:r>
        <w:rPr>
          <w:rFonts w:hint="eastAsia" w:ascii="仿宋" w:hAnsi="仿宋" w:eastAsia="仿宋" w:cs="仿宋"/>
          <w:color w:val="auto"/>
          <w:highlight w:val="none"/>
        </w:rPr>
        <w:t>根据《城镇道路养护技术规范》（</w:t>
      </w:r>
      <w:r>
        <w:rPr>
          <w:rFonts w:hint="eastAsia" w:ascii="仿宋" w:hAnsi="仿宋" w:eastAsia="仿宋" w:cs="仿宋"/>
          <w:color w:val="auto"/>
          <w:highlight w:val="none"/>
          <w:lang w:eastAsia="zh-CN"/>
        </w:rPr>
        <w:t>CJJ36-2016</w:t>
      </w:r>
      <w:r>
        <w:rPr>
          <w:rFonts w:hint="eastAsia" w:ascii="仿宋" w:hAnsi="仿宋" w:eastAsia="仿宋" w:cs="仿宋"/>
          <w:color w:val="auto"/>
          <w:highlight w:val="none"/>
        </w:rPr>
        <w:t>）表4.6.</w:t>
      </w: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rPr>
        <w:t>的相关规定，各路段技术状况综合评价为</w:t>
      </w:r>
      <w:r>
        <w:rPr>
          <w:rFonts w:hint="eastAsia" w:ascii="仿宋" w:hAnsi="仿宋" w:eastAsia="仿宋" w:cs="仿宋"/>
          <w:color w:val="auto"/>
          <w:highlight w:val="none"/>
          <w:lang w:val="en-US" w:eastAsia="zh-CN"/>
        </w:rPr>
        <w:t>D</w:t>
      </w:r>
      <w:r>
        <w:rPr>
          <w:rFonts w:hint="eastAsia" w:ascii="仿宋" w:hAnsi="仿宋" w:eastAsia="仿宋" w:cs="仿宋"/>
          <w:color w:val="auto"/>
          <w:highlight w:val="none"/>
        </w:rPr>
        <w:t>级（PQI），损坏状况评级为</w:t>
      </w:r>
      <w:r>
        <w:rPr>
          <w:rFonts w:hint="eastAsia" w:ascii="仿宋" w:hAnsi="仿宋" w:eastAsia="仿宋" w:cs="仿宋"/>
          <w:color w:val="auto"/>
          <w:highlight w:val="none"/>
          <w:lang w:val="en-US" w:eastAsia="zh-CN"/>
        </w:rPr>
        <w:t>D</w:t>
      </w:r>
      <w:r>
        <w:rPr>
          <w:rFonts w:hint="eastAsia" w:ascii="仿宋" w:hAnsi="仿宋" w:eastAsia="仿宋" w:cs="仿宋"/>
          <w:color w:val="auto"/>
          <w:highlight w:val="none"/>
        </w:rPr>
        <w:t>级（PCI）</w:t>
      </w:r>
      <w:r>
        <w:rPr>
          <w:rFonts w:hint="eastAsia" w:ascii="仿宋" w:hAnsi="仿宋" w:eastAsia="仿宋" w:cs="仿宋"/>
          <w:color w:val="auto"/>
          <w:highlight w:val="none"/>
          <w:lang w:eastAsia="zh-CN"/>
        </w:rPr>
        <w:t>，部分路段结构强度不足</w:t>
      </w:r>
      <w:r>
        <w:rPr>
          <w:rFonts w:hint="eastAsia" w:ascii="仿宋" w:hAnsi="仿宋" w:eastAsia="仿宋" w:cs="仿宋"/>
          <w:color w:val="auto"/>
          <w:highlight w:val="none"/>
        </w:rPr>
        <w:t>。</w:t>
      </w:r>
    </w:p>
    <w:p w14:paraId="69F10E53">
      <w:pPr>
        <w:pStyle w:val="296"/>
        <w:rPr>
          <w:rFonts w:hint="eastAsia" w:ascii="仿宋" w:hAnsi="仿宋" w:eastAsia="仿宋" w:cs="仿宋"/>
          <w:color w:val="auto"/>
          <w:highlight w:val="none"/>
        </w:rPr>
      </w:pPr>
      <w:r>
        <w:rPr>
          <w:rFonts w:hint="eastAsia" w:ascii="仿宋" w:hAnsi="仿宋" w:eastAsia="仿宋" w:cs="仿宋"/>
          <w:color w:val="auto"/>
          <w:highlight w:val="none"/>
        </w:rPr>
        <w:t>路面养护对策</w:t>
      </w:r>
    </w:p>
    <w:tbl>
      <w:tblPr>
        <w:tblStyle w:val="88"/>
        <w:tblW w:w="4779" w:type="pct"/>
        <w:jc w:val="center"/>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autofit"/>
        <w:tblCellMar>
          <w:top w:w="0" w:type="dxa"/>
          <w:left w:w="108" w:type="dxa"/>
          <w:bottom w:w="0" w:type="dxa"/>
          <w:right w:w="108" w:type="dxa"/>
        </w:tblCellMar>
      </w:tblPr>
      <w:tblGrid>
        <w:gridCol w:w="1214"/>
        <w:gridCol w:w="752"/>
        <w:gridCol w:w="1133"/>
        <w:gridCol w:w="860"/>
        <w:gridCol w:w="818"/>
        <w:gridCol w:w="1019"/>
        <w:gridCol w:w="746"/>
        <w:gridCol w:w="702"/>
        <w:gridCol w:w="617"/>
        <w:gridCol w:w="1237"/>
        <w:gridCol w:w="1253"/>
      </w:tblGrid>
      <w:tr w14:paraId="52B5819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348" w:hRule="atLeast"/>
          <w:jc w:val="center"/>
        </w:trPr>
        <w:tc>
          <w:tcPr>
            <w:tcW w:w="586" w:type="pct"/>
            <w:tcBorders>
              <w:top w:val="single" w:color="auto" w:sz="4" w:space="0"/>
              <w:left w:val="single" w:color="auto" w:sz="4" w:space="0"/>
              <w:bottom w:val="single" w:color="auto" w:sz="4" w:space="0"/>
              <w:right w:val="single" w:color="auto" w:sz="4" w:space="0"/>
            </w:tcBorders>
            <w:vAlign w:val="center"/>
          </w:tcPr>
          <w:p w14:paraId="2F6545DD">
            <w:pPr>
              <w:pStyle w:val="296"/>
              <w:rPr>
                <w:rFonts w:hint="eastAsia" w:ascii="仿宋" w:hAnsi="仿宋" w:eastAsia="仿宋" w:cs="仿宋"/>
                <w:color w:val="auto"/>
                <w:highlight w:val="none"/>
              </w:rPr>
            </w:pPr>
            <w:r>
              <w:rPr>
                <w:rFonts w:hint="eastAsia" w:ascii="仿宋" w:hAnsi="仿宋" w:eastAsia="仿宋" w:cs="仿宋"/>
                <w:color w:val="auto"/>
                <w:highlight w:val="none"/>
              </w:rPr>
              <w:t>评价指标</w:t>
            </w:r>
          </w:p>
        </w:tc>
        <w:tc>
          <w:tcPr>
            <w:tcW w:w="363" w:type="pct"/>
            <w:tcBorders>
              <w:top w:val="single" w:color="auto" w:sz="4" w:space="0"/>
              <w:left w:val="single" w:color="auto" w:sz="4" w:space="0"/>
              <w:bottom w:val="single" w:color="auto" w:sz="4" w:space="0"/>
              <w:right w:val="single" w:color="auto" w:sz="4" w:space="0"/>
            </w:tcBorders>
            <w:vAlign w:val="center"/>
          </w:tcPr>
          <w:p w14:paraId="783868E1">
            <w:pPr>
              <w:pStyle w:val="296"/>
              <w:rPr>
                <w:rFonts w:hint="eastAsia" w:ascii="仿宋" w:hAnsi="仿宋" w:eastAsia="仿宋" w:cs="仿宋"/>
                <w:color w:val="auto"/>
                <w:highlight w:val="none"/>
              </w:rPr>
            </w:pPr>
            <w:r>
              <w:rPr>
                <w:rFonts w:hint="eastAsia" w:ascii="仿宋" w:hAnsi="仿宋" w:eastAsia="仿宋" w:cs="仿宋"/>
                <w:color w:val="auto"/>
                <w:highlight w:val="none"/>
              </w:rPr>
              <w:t>PCI</w:t>
            </w:r>
          </w:p>
        </w:tc>
        <w:tc>
          <w:tcPr>
            <w:tcW w:w="547" w:type="pct"/>
            <w:tcBorders>
              <w:top w:val="single" w:color="auto" w:sz="4" w:space="0"/>
              <w:left w:val="single" w:color="auto" w:sz="4" w:space="0"/>
              <w:bottom w:val="single" w:color="auto" w:sz="4" w:space="0"/>
              <w:right w:val="single" w:color="auto" w:sz="4" w:space="0"/>
            </w:tcBorders>
            <w:vAlign w:val="center"/>
          </w:tcPr>
          <w:p w14:paraId="26D5B6B1">
            <w:pPr>
              <w:pStyle w:val="296"/>
              <w:rPr>
                <w:rFonts w:hint="eastAsia" w:ascii="仿宋" w:hAnsi="仿宋" w:eastAsia="仿宋" w:cs="仿宋"/>
                <w:color w:val="auto"/>
                <w:highlight w:val="none"/>
              </w:rPr>
            </w:pPr>
            <w:r>
              <w:rPr>
                <w:rFonts w:hint="eastAsia" w:ascii="仿宋" w:hAnsi="仿宋" w:eastAsia="仿宋" w:cs="仿宋"/>
                <w:color w:val="auto"/>
                <w:highlight w:val="none"/>
              </w:rPr>
              <w:t>RQI</w:t>
            </w:r>
          </w:p>
        </w:tc>
        <w:tc>
          <w:tcPr>
            <w:tcW w:w="415" w:type="pct"/>
            <w:tcBorders>
              <w:top w:val="single" w:color="auto" w:sz="4" w:space="0"/>
              <w:left w:val="single" w:color="auto" w:sz="4" w:space="0"/>
              <w:bottom w:val="single" w:color="auto" w:sz="4" w:space="0"/>
              <w:right w:val="single" w:color="auto" w:sz="4" w:space="0"/>
            </w:tcBorders>
            <w:vAlign w:val="center"/>
          </w:tcPr>
          <w:p w14:paraId="39329F1E">
            <w:pPr>
              <w:pStyle w:val="296"/>
              <w:rPr>
                <w:rFonts w:hint="eastAsia" w:ascii="仿宋" w:hAnsi="仿宋" w:eastAsia="仿宋" w:cs="仿宋"/>
                <w:color w:val="auto"/>
                <w:highlight w:val="none"/>
              </w:rPr>
            </w:pPr>
            <w:r>
              <w:rPr>
                <w:rFonts w:hint="eastAsia" w:ascii="仿宋" w:hAnsi="仿宋" w:eastAsia="仿宋" w:cs="仿宋"/>
                <w:color w:val="auto"/>
                <w:highlight w:val="none"/>
              </w:rPr>
              <w:t>PCI</w:t>
            </w:r>
          </w:p>
        </w:tc>
        <w:tc>
          <w:tcPr>
            <w:tcW w:w="395" w:type="pct"/>
            <w:tcBorders>
              <w:top w:val="single" w:color="auto" w:sz="4" w:space="0"/>
              <w:left w:val="single" w:color="auto" w:sz="4" w:space="0"/>
              <w:bottom w:val="single" w:color="auto" w:sz="4" w:space="0"/>
              <w:right w:val="single" w:color="auto" w:sz="4" w:space="0"/>
            </w:tcBorders>
            <w:vAlign w:val="center"/>
          </w:tcPr>
          <w:p w14:paraId="74B9FB2D">
            <w:pPr>
              <w:pStyle w:val="296"/>
              <w:rPr>
                <w:rFonts w:hint="eastAsia" w:ascii="仿宋" w:hAnsi="仿宋" w:eastAsia="仿宋" w:cs="仿宋"/>
                <w:color w:val="auto"/>
                <w:highlight w:val="none"/>
              </w:rPr>
            </w:pPr>
            <w:r>
              <w:rPr>
                <w:rFonts w:hint="eastAsia" w:ascii="仿宋" w:hAnsi="仿宋" w:eastAsia="仿宋" w:cs="仿宋"/>
                <w:color w:val="auto"/>
                <w:highlight w:val="none"/>
              </w:rPr>
              <w:t>RQI</w:t>
            </w:r>
          </w:p>
        </w:tc>
        <w:tc>
          <w:tcPr>
            <w:tcW w:w="492" w:type="pct"/>
            <w:tcBorders>
              <w:top w:val="single" w:color="auto" w:sz="4" w:space="0"/>
              <w:left w:val="single" w:color="auto" w:sz="4" w:space="0"/>
              <w:bottom w:val="single" w:color="auto" w:sz="4" w:space="0"/>
              <w:right w:val="single" w:color="auto" w:sz="4" w:space="0"/>
            </w:tcBorders>
            <w:vAlign w:val="center"/>
          </w:tcPr>
          <w:p w14:paraId="6CB59338">
            <w:pPr>
              <w:pStyle w:val="296"/>
              <w:rPr>
                <w:rFonts w:hint="eastAsia" w:ascii="仿宋" w:hAnsi="仿宋" w:eastAsia="仿宋" w:cs="仿宋"/>
                <w:color w:val="auto"/>
                <w:highlight w:val="none"/>
              </w:rPr>
            </w:pPr>
            <w:r>
              <w:rPr>
                <w:rFonts w:hint="eastAsia" w:ascii="仿宋" w:hAnsi="仿宋" w:eastAsia="仿宋" w:cs="仿宋"/>
                <w:color w:val="auto"/>
                <w:highlight w:val="none"/>
              </w:rPr>
              <w:t>PCI</w:t>
            </w:r>
          </w:p>
        </w:tc>
        <w:tc>
          <w:tcPr>
            <w:tcW w:w="360" w:type="pct"/>
            <w:tcBorders>
              <w:top w:val="single" w:color="auto" w:sz="4" w:space="0"/>
              <w:left w:val="single" w:color="auto" w:sz="4" w:space="0"/>
              <w:bottom w:val="single" w:color="auto" w:sz="4" w:space="0"/>
              <w:right w:val="single" w:color="auto" w:sz="4" w:space="0"/>
            </w:tcBorders>
            <w:vAlign w:val="center"/>
          </w:tcPr>
          <w:p w14:paraId="342417A2">
            <w:pPr>
              <w:pStyle w:val="296"/>
              <w:rPr>
                <w:rFonts w:hint="eastAsia" w:ascii="仿宋" w:hAnsi="仿宋" w:eastAsia="仿宋" w:cs="仿宋"/>
                <w:color w:val="auto"/>
                <w:highlight w:val="none"/>
              </w:rPr>
            </w:pPr>
            <w:r>
              <w:rPr>
                <w:rFonts w:hint="eastAsia" w:ascii="仿宋" w:hAnsi="仿宋" w:eastAsia="仿宋" w:cs="仿宋"/>
                <w:color w:val="auto"/>
                <w:highlight w:val="none"/>
              </w:rPr>
              <w:t>RQI</w:t>
            </w:r>
          </w:p>
        </w:tc>
        <w:tc>
          <w:tcPr>
            <w:tcW w:w="339" w:type="pct"/>
            <w:tcBorders>
              <w:top w:val="single" w:color="auto" w:sz="4" w:space="0"/>
              <w:left w:val="single" w:color="auto" w:sz="4" w:space="0"/>
              <w:bottom w:val="single" w:color="auto" w:sz="4" w:space="0"/>
              <w:right w:val="single" w:color="auto" w:sz="4" w:space="0"/>
            </w:tcBorders>
            <w:vAlign w:val="center"/>
          </w:tcPr>
          <w:p w14:paraId="7D5B9341">
            <w:pPr>
              <w:pStyle w:val="296"/>
              <w:rPr>
                <w:rFonts w:hint="eastAsia" w:ascii="仿宋" w:hAnsi="仿宋" w:eastAsia="仿宋" w:cs="仿宋"/>
                <w:color w:val="auto"/>
                <w:highlight w:val="none"/>
              </w:rPr>
            </w:pPr>
            <w:r>
              <w:rPr>
                <w:rFonts w:hint="eastAsia" w:ascii="仿宋" w:hAnsi="仿宋" w:eastAsia="仿宋" w:cs="仿宋"/>
                <w:color w:val="auto"/>
                <w:highlight w:val="none"/>
              </w:rPr>
              <w:t>PCI</w:t>
            </w:r>
          </w:p>
        </w:tc>
        <w:tc>
          <w:tcPr>
            <w:tcW w:w="298" w:type="pct"/>
            <w:tcBorders>
              <w:top w:val="single" w:color="auto" w:sz="4" w:space="0"/>
              <w:left w:val="single" w:color="auto" w:sz="4" w:space="0"/>
              <w:bottom w:val="single" w:color="auto" w:sz="4" w:space="0"/>
              <w:right w:val="single" w:color="auto" w:sz="4" w:space="0"/>
            </w:tcBorders>
            <w:vAlign w:val="center"/>
          </w:tcPr>
          <w:p w14:paraId="6D7FDBEA">
            <w:pPr>
              <w:pStyle w:val="296"/>
              <w:rPr>
                <w:rFonts w:hint="eastAsia" w:ascii="仿宋" w:hAnsi="仿宋" w:eastAsia="仿宋" w:cs="仿宋"/>
                <w:color w:val="auto"/>
                <w:highlight w:val="none"/>
              </w:rPr>
            </w:pPr>
            <w:r>
              <w:rPr>
                <w:rFonts w:hint="eastAsia" w:ascii="仿宋" w:hAnsi="仿宋" w:eastAsia="仿宋" w:cs="仿宋"/>
                <w:color w:val="auto"/>
                <w:highlight w:val="none"/>
              </w:rPr>
              <w:t>RQI</w:t>
            </w:r>
          </w:p>
        </w:tc>
        <w:tc>
          <w:tcPr>
            <w:tcW w:w="597" w:type="pct"/>
            <w:tcBorders>
              <w:top w:val="single" w:color="auto" w:sz="4" w:space="0"/>
              <w:left w:val="single" w:color="auto" w:sz="4" w:space="0"/>
              <w:bottom w:val="single" w:color="auto" w:sz="4" w:space="0"/>
              <w:right w:val="single" w:color="auto" w:sz="4" w:space="0"/>
            </w:tcBorders>
            <w:vAlign w:val="center"/>
          </w:tcPr>
          <w:p w14:paraId="1D8F7D2E">
            <w:pPr>
              <w:pStyle w:val="296"/>
              <w:rPr>
                <w:rFonts w:hint="eastAsia" w:ascii="仿宋" w:hAnsi="仿宋" w:eastAsia="仿宋" w:cs="仿宋"/>
                <w:color w:val="auto"/>
                <w:highlight w:val="none"/>
              </w:rPr>
            </w:pPr>
            <w:r>
              <w:rPr>
                <w:rFonts w:hint="eastAsia" w:ascii="仿宋" w:hAnsi="仿宋" w:eastAsia="仿宋" w:cs="仿宋"/>
                <w:color w:val="auto"/>
                <w:highlight w:val="none"/>
              </w:rPr>
              <w:t>结构强度</w:t>
            </w:r>
          </w:p>
        </w:tc>
        <w:tc>
          <w:tcPr>
            <w:tcW w:w="603" w:type="pct"/>
            <w:tcBorders>
              <w:top w:val="single" w:color="auto" w:sz="4" w:space="0"/>
              <w:left w:val="single" w:color="auto" w:sz="4" w:space="0"/>
              <w:bottom w:val="single" w:color="auto" w:sz="4" w:space="0"/>
              <w:right w:val="single" w:color="auto" w:sz="4" w:space="0"/>
            </w:tcBorders>
            <w:vAlign w:val="center"/>
          </w:tcPr>
          <w:p w14:paraId="6C4F9190">
            <w:pPr>
              <w:pStyle w:val="296"/>
              <w:rPr>
                <w:rFonts w:hint="eastAsia" w:ascii="仿宋" w:hAnsi="仿宋" w:eastAsia="仿宋" w:cs="仿宋"/>
                <w:color w:val="auto"/>
                <w:highlight w:val="none"/>
              </w:rPr>
            </w:pPr>
            <w:r>
              <w:rPr>
                <w:rFonts w:hint="eastAsia" w:ascii="仿宋" w:hAnsi="仿宋" w:eastAsia="仿宋" w:cs="仿宋"/>
                <w:color w:val="auto"/>
                <w:highlight w:val="none"/>
              </w:rPr>
              <w:t>BPNSFC</w:t>
            </w:r>
          </w:p>
        </w:tc>
      </w:tr>
      <w:tr w14:paraId="2B12E3D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348" w:hRule="atLeast"/>
          <w:jc w:val="center"/>
        </w:trPr>
        <w:tc>
          <w:tcPr>
            <w:tcW w:w="586" w:type="pct"/>
            <w:tcBorders>
              <w:top w:val="single" w:color="auto" w:sz="4" w:space="0"/>
              <w:left w:val="single" w:color="auto" w:sz="4" w:space="0"/>
              <w:bottom w:val="single" w:color="auto" w:sz="4" w:space="0"/>
              <w:right w:val="single" w:color="auto" w:sz="4" w:space="0"/>
            </w:tcBorders>
            <w:vAlign w:val="center"/>
          </w:tcPr>
          <w:p w14:paraId="088A4E2A">
            <w:pPr>
              <w:pStyle w:val="296"/>
              <w:rPr>
                <w:rFonts w:hint="eastAsia" w:ascii="仿宋" w:hAnsi="仿宋" w:eastAsia="仿宋" w:cs="仿宋"/>
                <w:color w:val="auto"/>
                <w:highlight w:val="none"/>
              </w:rPr>
            </w:pPr>
            <w:r>
              <w:rPr>
                <w:rFonts w:hint="eastAsia" w:ascii="仿宋" w:hAnsi="仿宋" w:eastAsia="仿宋" w:cs="仿宋"/>
                <w:color w:val="auto"/>
                <w:highlight w:val="none"/>
              </w:rPr>
              <w:t>等级</w:t>
            </w:r>
          </w:p>
        </w:tc>
        <w:tc>
          <w:tcPr>
            <w:tcW w:w="363" w:type="pct"/>
            <w:tcBorders>
              <w:top w:val="single" w:color="auto" w:sz="4" w:space="0"/>
              <w:left w:val="single" w:color="auto" w:sz="4" w:space="0"/>
              <w:bottom w:val="single" w:color="auto" w:sz="4" w:space="0"/>
              <w:right w:val="single" w:color="auto" w:sz="4" w:space="0"/>
            </w:tcBorders>
            <w:vAlign w:val="center"/>
          </w:tcPr>
          <w:p w14:paraId="4F1B1200">
            <w:pPr>
              <w:pStyle w:val="296"/>
              <w:rPr>
                <w:rFonts w:hint="eastAsia" w:ascii="仿宋" w:hAnsi="仿宋" w:eastAsia="仿宋" w:cs="仿宋"/>
                <w:color w:val="auto"/>
                <w:highlight w:val="none"/>
              </w:rPr>
            </w:pPr>
            <w:r>
              <w:rPr>
                <w:rFonts w:hint="eastAsia" w:ascii="仿宋" w:hAnsi="仿宋" w:eastAsia="仿宋" w:cs="仿宋"/>
                <w:color w:val="auto"/>
                <w:highlight w:val="none"/>
              </w:rPr>
              <w:t>A、B</w:t>
            </w:r>
          </w:p>
        </w:tc>
        <w:tc>
          <w:tcPr>
            <w:tcW w:w="547" w:type="pct"/>
            <w:tcBorders>
              <w:top w:val="single" w:color="auto" w:sz="4" w:space="0"/>
              <w:left w:val="single" w:color="auto" w:sz="4" w:space="0"/>
              <w:bottom w:val="single" w:color="auto" w:sz="4" w:space="0"/>
              <w:right w:val="single" w:color="auto" w:sz="4" w:space="0"/>
            </w:tcBorders>
            <w:vAlign w:val="center"/>
          </w:tcPr>
          <w:p w14:paraId="39E76337">
            <w:pPr>
              <w:pStyle w:val="296"/>
              <w:rPr>
                <w:rFonts w:hint="eastAsia" w:ascii="仿宋" w:hAnsi="仿宋" w:eastAsia="仿宋" w:cs="仿宋"/>
                <w:color w:val="auto"/>
                <w:highlight w:val="none"/>
              </w:rPr>
            </w:pPr>
            <w:r>
              <w:rPr>
                <w:rFonts w:hint="eastAsia" w:ascii="仿宋" w:hAnsi="仿宋" w:eastAsia="仿宋" w:cs="仿宋"/>
                <w:color w:val="auto"/>
                <w:highlight w:val="none"/>
              </w:rPr>
              <w:t>A、B</w:t>
            </w:r>
          </w:p>
        </w:tc>
        <w:tc>
          <w:tcPr>
            <w:tcW w:w="415" w:type="pct"/>
            <w:tcBorders>
              <w:top w:val="single" w:color="auto" w:sz="4" w:space="0"/>
              <w:left w:val="single" w:color="auto" w:sz="4" w:space="0"/>
              <w:bottom w:val="single" w:color="auto" w:sz="4" w:space="0"/>
              <w:right w:val="single" w:color="auto" w:sz="4" w:space="0"/>
            </w:tcBorders>
            <w:vAlign w:val="center"/>
          </w:tcPr>
          <w:p w14:paraId="13ABDFD8">
            <w:pPr>
              <w:pStyle w:val="296"/>
              <w:rPr>
                <w:rFonts w:hint="eastAsia" w:ascii="仿宋" w:hAnsi="仿宋" w:eastAsia="仿宋" w:cs="仿宋"/>
                <w:color w:val="auto"/>
                <w:highlight w:val="none"/>
              </w:rPr>
            </w:pPr>
            <w:r>
              <w:rPr>
                <w:rFonts w:hint="eastAsia" w:ascii="仿宋" w:hAnsi="仿宋" w:eastAsia="仿宋" w:cs="仿宋"/>
                <w:color w:val="auto"/>
                <w:highlight w:val="none"/>
              </w:rPr>
              <w:t>B、C</w:t>
            </w:r>
          </w:p>
        </w:tc>
        <w:tc>
          <w:tcPr>
            <w:tcW w:w="395" w:type="pct"/>
            <w:tcBorders>
              <w:top w:val="single" w:color="auto" w:sz="4" w:space="0"/>
              <w:left w:val="single" w:color="auto" w:sz="4" w:space="0"/>
              <w:bottom w:val="single" w:color="auto" w:sz="4" w:space="0"/>
              <w:right w:val="single" w:color="auto" w:sz="4" w:space="0"/>
            </w:tcBorders>
            <w:vAlign w:val="center"/>
          </w:tcPr>
          <w:p w14:paraId="77D5B3BA">
            <w:pPr>
              <w:pStyle w:val="296"/>
              <w:rPr>
                <w:rFonts w:hint="eastAsia" w:ascii="仿宋" w:hAnsi="仿宋" w:eastAsia="仿宋" w:cs="仿宋"/>
                <w:color w:val="auto"/>
                <w:highlight w:val="none"/>
              </w:rPr>
            </w:pPr>
            <w:r>
              <w:rPr>
                <w:rFonts w:hint="eastAsia" w:ascii="仿宋" w:hAnsi="仿宋" w:eastAsia="仿宋" w:cs="仿宋"/>
                <w:color w:val="auto"/>
                <w:highlight w:val="none"/>
              </w:rPr>
              <w:t>B、C</w:t>
            </w:r>
          </w:p>
        </w:tc>
        <w:tc>
          <w:tcPr>
            <w:tcW w:w="492" w:type="pct"/>
            <w:tcBorders>
              <w:top w:val="single" w:color="auto" w:sz="4" w:space="0"/>
              <w:left w:val="single" w:color="auto" w:sz="4" w:space="0"/>
              <w:bottom w:val="single" w:color="auto" w:sz="4" w:space="0"/>
              <w:right w:val="single" w:color="auto" w:sz="4" w:space="0"/>
            </w:tcBorders>
            <w:vAlign w:val="center"/>
          </w:tcPr>
          <w:p w14:paraId="0F30B8E9">
            <w:pPr>
              <w:pStyle w:val="296"/>
              <w:rPr>
                <w:rFonts w:hint="eastAsia" w:ascii="仿宋" w:hAnsi="仿宋" w:eastAsia="仿宋" w:cs="仿宋"/>
                <w:color w:val="auto"/>
                <w:highlight w:val="none"/>
              </w:rPr>
            </w:pPr>
            <w:r>
              <w:rPr>
                <w:rFonts w:hint="eastAsia" w:ascii="仿宋" w:hAnsi="仿宋" w:eastAsia="仿宋" w:cs="仿宋"/>
                <w:color w:val="auto"/>
                <w:highlight w:val="none"/>
              </w:rPr>
              <w:t>C</w:t>
            </w:r>
          </w:p>
        </w:tc>
        <w:tc>
          <w:tcPr>
            <w:tcW w:w="360" w:type="pct"/>
            <w:tcBorders>
              <w:top w:val="single" w:color="auto" w:sz="4" w:space="0"/>
              <w:left w:val="single" w:color="auto" w:sz="4" w:space="0"/>
              <w:bottom w:val="single" w:color="auto" w:sz="4" w:space="0"/>
              <w:right w:val="single" w:color="auto" w:sz="4" w:space="0"/>
            </w:tcBorders>
            <w:vAlign w:val="center"/>
          </w:tcPr>
          <w:p w14:paraId="6ECE24D0">
            <w:pPr>
              <w:pStyle w:val="296"/>
              <w:rPr>
                <w:rFonts w:hint="eastAsia" w:ascii="仿宋" w:hAnsi="仿宋" w:eastAsia="仿宋" w:cs="仿宋"/>
                <w:color w:val="auto"/>
                <w:highlight w:val="none"/>
              </w:rPr>
            </w:pPr>
            <w:r>
              <w:rPr>
                <w:rFonts w:hint="eastAsia" w:ascii="仿宋" w:hAnsi="仿宋" w:eastAsia="仿宋" w:cs="仿宋"/>
                <w:color w:val="auto"/>
                <w:highlight w:val="none"/>
              </w:rPr>
              <w:t>C</w:t>
            </w:r>
          </w:p>
        </w:tc>
        <w:tc>
          <w:tcPr>
            <w:tcW w:w="339" w:type="pct"/>
            <w:tcBorders>
              <w:top w:val="single" w:color="auto" w:sz="4" w:space="0"/>
              <w:left w:val="single" w:color="auto" w:sz="4" w:space="0"/>
              <w:bottom w:val="single" w:color="auto" w:sz="4" w:space="0"/>
              <w:right w:val="single" w:color="auto" w:sz="4" w:space="0"/>
            </w:tcBorders>
            <w:vAlign w:val="center"/>
          </w:tcPr>
          <w:p w14:paraId="2433497F">
            <w:pPr>
              <w:pStyle w:val="296"/>
              <w:rPr>
                <w:rFonts w:hint="eastAsia" w:ascii="仿宋" w:hAnsi="仿宋" w:eastAsia="仿宋" w:cs="仿宋"/>
                <w:color w:val="auto"/>
                <w:highlight w:val="none"/>
              </w:rPr>
            </w:pPr>
            <w:r>
              <w:rPr>
                <w:rFonts w:hint="eastAsia" w:ascii="仿宋" w:hAnsi="仿宋" w:eastAsia="仿宋" w:cs="仿宋"/>
                <w:color w:val="auto"/>
                <w:highlight w:val="none"/>
              </w:rPr>
              <w:t>D</w:t>
            </w:r>
          </w:p>
        </w:tc>
        <w:tc>
          <w:tcPr>
            <w:tcW w:w="298" w:type="pct"/>
            <w:tcBorders>
              <w:top w:val="single" w:color="auto" w:sz="4" w:space="0"/>
              <w:left w:val="single" w:color="auto" w:sz="4" w:space="0"/>
              <w:bottom w:val="single" w:color="auto" w:sz="4" w:space="0"/>
              <w:right w:val="single" w:color="auto" w:sz="4" w:space="0"/>
            </w:tcBorders>
            <w:vAlign w:val="center"/>
          </w:tcPr>
          <w:p w14:paraId="44C1220D">
            <w:pPr>
              <w:pStyle w:val="296"/>
              <w:rPr>
                <w:rFonts w:hint="eastAsia" w:ascii="仿宋" w:hAnsi="仿宋" w:eastAsia="仿宋" w:cs="仿宋"/>
                <w:color w:val="auto"/>
                <w:highlight w:val="none"/>
              </w:rPr>
            </w:pPr>
            <w:r>
              <w:rPr>
                <w:rFonts w:hint="eastAsia" w:ascii="仿宋" w:hAnsi="仿宋" w:eastAsia="仿宋" w:cs="仿宋"/>
                <w:color w:val="auto"/>
                <w:highlight w:val="none"/>
              </w:rPr>
              <w:t>D</w:t>
            </w:r>
          </w:p>
        </w:tc>
        <w:tc>
          <w:tcPr>
            <w:tcW w:w="597" w:type="pct"/>
            <w:tcBorders>
              <w:top w:val="single" w:color="auto" w:sz="4" w:space="0"/>
              <w:left w:val="single" w:color="auto" w:sz="4" w:space="0"/>
              <w:bottom w:val="single" w:color="auto" w:sz="4" w:space="0"/>
              <w:right w:val="single" w:color="auto" w:sz="4" w:space="0"/>
            </w:tcBorders>
            <w:vAlign w:val="center"/>
          </w:tcPr>
          <w:p w14:paraId="44FFD238">
            <w:pPr>
              <w:pStyle w:val="296"/>
              <w:rPr>
                <w:rFonts w:hint="eastAsia" w:ascii="仿宋" w:hAnsi="仿宋" w:eastAsia="仿宋" w:cs="仿宋"/>
                <w:color w:val="auto"/>
                <w:highlight w:val="none"/>
              </w:rPr>
            </w:pPr>
            <w:r>
              <w:rPr>
                <w:rFonts w:hint="eastAsia" w:ascii="仿宋" w:hAnsi="仿宋" w:eastAsia="仿宋" w:cs="仿宋"/>
                <w:color w:val="auto"/>
                <w:highlight w:val="none"/>
              </w:rPr>
              <w:t>不足</w:t>
            </w:r>
          </w:p>
        </w:tc>
        <w:tc>
          <w:tcPr>
            <w:tcW w:w="603" w:type="pct"/>
            <w:tcBorders>
              <w:top w:val="single" w:color="auto" w:sz="4" w:space="0"/>
              <w:left w:val="single" w:color="auto" w:sz="4" w:space="0"/>
              <w:bottom w:val="single" w:color="auto" w:sz="4" w:space="0"/>
              <w:right w:val="single" w:color="auto" w:sz="4" w:space="0"/>
            </w:tcBorders>
            <w:vAlign w:val="center"/>
          </w:tcPr>
          <w:p w14:paraId="0169F621">
            <w:pPr>
              <w:pStyle w:val="296"/>
              <w:rPr>
                <w:rFonts w:hint="eastAsia" w:ascii="仿宋" w:hAnsi="仿宋" w:eastAsia="仿宋" w:cs="仿宋"/>
                <w:color w:val="auto"/>
                <w:highlight w:val="none"/>
              </w:rPr>
            </w:pPr>
            <w:r>
              <w:rPr>
                <w:rFonts w:hint="eastAsia" w:ascii="仿宋" w:hAnsi="仿宋" w:eastAsia="仿宋" w:cs="仿宋"/>
                <w:color w:val="auto"/>
                <w:highlight w:val="none"/>
              </w:rPr>
              <w:t>D</w:t>
            </w:r>
          </w:p>
        </w:tc>
      </w:tr>
      <w:tr w14:paraId="0E3BF62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6" w:hRule="atLeast"/>
          <w:jc w:val="center"/>
        </w:trPr>
        <w:tc>
          <w:tcPr>
            <w:tcW w:w="586" w:type="pct"/>
            <w:tcBorders>
              <w:top w:val="single" w:color="auto" w:sz="4" w:space="0"/>
              <w:left w:val="single" w:color="auto" w:sz="4" w:space="0"/>
              <w:bottom w:val="single" w:color="auto" w:sz="4" w:space="0"/>
              <w:right w:val="single" w:color="auto" w:sz="4" w:space="0"/>
            </w:tcBorders>
            <w:vAlign w:val="center"/>
          </w:tcPr>
          <w:p w14:paraId="3EB8840C">
            <w:pPr>
              <w:pStyle w:val="296"/>
              <w:rPr>
                <w:rFonts w:hint="eastAsia" w:ascii="仿宋" w:hAnsi="仿宋" w:eastAsia="仿宋" w:cs="仿宋"/>
                <w:color w:val="auto"/>
                <w:highlight w:val="none"/>
              </w:rPr>
            </w:pPr>
            <w:r>
              <w:rPr>
                <w:rFonts w:hint="eastAsia" w:ascii="仿宋" w:hAnsi="仿宋" w:eastAsia="仿宋" w:cs="仿宋"/>
                <w:color w:val="auto"/>
                <w:highlight w:val="none"/>
              </w:rPr>
              <w:t>养护对策</w:t>
            </w:r>
          </w:p>
        </w:tc>
        <w:tc>
          <w:tcPr>
            <w:tcW w:w="910" w:type="pct"/>
            <w:gridSpan w:val="2"/>
            <w:tcBorders>
              <w:top w:val="single" w:color="auto" w:sz="4" w:space="0"/>
              <w:left w:val="single" w:color="auto" w:sz="4" w:space="0"/>
              <w:bottom w:val="single" w:color="auto" w:sz="4" w:space="0"/>
              <w:right w:val="single" w:color="auto" w:sz="4" w:space="0"/>
            </w:tcBorders>
            <w:vAlign w:val="center"/>
          </w:tcPr>
          <w:p w14:paraId="134C7187">
            <w:pPr>
              <w:pStyle w:val="296"/>
              <w:rPr>
                <w:rFonts w:hint="eastAsia" w:ascii="仿宋" w:hAnsi="仿宋" w:eastAsia="仿宋" w:cs="仿宋"/>
                <w:color w:val="auto"/>
                <w:highlight w:val="none"/>
              </w:rPr>
            </w:pPr>
            <w:r>
              <w:rPr>
                <w:rFonts w:hint="eastAsia" w:ascii="仿宋" w:hAnsi="仿宋" w:eastAsia="仿宋" w:cs="仿宋"/>
                <w:color w:val="auto"/>
                <w:highlight w:val="none"/>
              </w:rPr>
              <w:t>预防性养护或保养小修</w:t>
            </w:r>
          </w:p>
        </w:tc>
        <w:tc>
          <w:tcPr>
            <w:tcW w:w="810" w:type="pct"/>
            <w:gridSpan w:val="2"/>
            <w:tcBorders>
              <w:top w:val="single" w:color="auto" w:sz="4" w:space="0"/>
              <w:left w:val="single" w:color="auto" w:sz="4" w:space="0"/>
              <w:bottom w:val="single" w:color="auto" w:sz="4" w:space="0"/>
              <w:right w:val="single" w:color="auto" w:sz="4" w:space="0"/>
            </w:tcBorders>
            <w:vAlign w:val="center"/>
          </w:tcPr>
          <w:p w14:paraId="79173B2E">
            <w:pPr>
              <w:pStyle w:val="296"/>
              <w:rPr>
                <w:rFonts w:hint="eastAsia" w:ascii="仿宋" w:hAnsi="仿宋" w:eastAsia="仿宋" w:cs="仿宋"/>
                <w:color w:val="auto"/>
                <w:highlight w:val="none"/>
              </w:rPr>
            </w:pPr>
            <w:r>
              <w:rPr>
                <w:rFonts w:hint="eastAsia" w:ascii="仿宋" w:hAnsi="仿宋" w:eastAsia="仿宋" w:cs="仿宋"/>
                <w:color w:val="auto"/>
                <w:highlight w:val="none"/>
              </w:rPr>
              <w:t>保养小修或中修</w:t>
            </w:r>
          </w:p>
        </w:tc>
        <w:tc>
          <w:tcPr>
            <w:tcW w:w="852" w:type="pct"/>
            <w:gridSpan w:val="2"/>
            <w:tcBorders>
              <w:top w:val="single" w:color="auto" w:sz="4" w:space="0"/>
              <w:left w:val="single" w:color="auto" w:sz="4" w:space="0"/>
              <w:bottom w:val="single" w:color="auto" w:sz="4" w:space="0"/>
              <w:right w:val="single" w:color="auto" w:sz="4" w:space="0"/>
            </w:tcBorders>
            <w:vAlign w:val="center"/>
          </w:tcPr>
          <w:p w14:paraId="3F08988D">
            <w:pPr>
              <w:pStyle w:val="296"/>
              <w:rPr>
                <w:rFonts w:hint="eastAsia" w:ascii="仿宋" w:hAnsi="仿宋" w:eastAsia="仿宋" w:cs="仿宋"/>
                <w:color w:val="auto"/>
                <w:highlight w:val="none"/>
              </w:rPr>
            </w:pPr>
            <w:r>
              <w:rPr>
                <w:rFonts w:hint="eastAsia" w:ascii="仿宋" w:hAnsi="仿宋" w:eastAsia="仿宋" w:cs="仿宋"/>
                <w:color w:val="auto"/>
                <w:highlight w:val="none"/>
              </w:rPr>
              <w:t>中修或局部大修</w:t>
            </w:r>
          </w:p>
        </w:tc>
        <w:tc>
          <w:tcPr>
            <w:tcW w:w="1839" w:type="pct"/>
            <w:gridSpan w:val="4"/>
            <w:tcBorders>
              <w:top w:val="single" w:color="auto" w:sz="4" w:space="0"/>
              <w:left w:val="single" w:color="auto" w:sz="4" w:space="0"/>
              <w:bottom w:val="single" w:color="auto" w:sz="4" w:space="0"/>
              <w:right w:val="single" w:color="auto" w:sz="4" w:space="0"/>
            </w:tcBorders>
            <w:vAlign w:val="center"/>
          </w:tcPr>
          <w:p w14:paraId="611EBE5C">
            <w:pPr>
              <w:pStyle w:val="296"/>
              <w:rPr>
                <w:rFonts w:hint="eastAsia" w:ascii="仿宋" w:hAnsi="仿宋" w:eastAsia="仿宋" w:cs="仿宋"/>
                <w:color w:val="auto"/>
                <w:highlight w:val="none"/>
              </w:rPr>
            </w:pPr>
            <w:r>
              <w:rPr>
                <w:rFonts w:hint="eastAsia" w:ascii="仿宋" w:hAnsi="仿宋" w:eastAsia="仿宋" w:cs="仿宋"/>
                <w:color w:val="auto"/>
                <w:highlight w:val="none"/>
              </w:rPr>
              <w:t>大修或改扩建工程</w:t>
            </w:r>
          </w:p>
        </w:tc>
      </w:tr>
    </w:tbl>
    <w:p w14:paraId="1FF39B05">
      <w:pPr>
        <w:keepNext/>
        <w:keepLines/>
        <w:pageBreakBefore w:val="0"/>
        <w:widowControl w:val="0"/>
        <w:numPr>
          <w:ilvl w:val="0"/>
          <w:numId w:val="0"/>
        </w:numPr>
        <w:kinsoku/>
        <w:wordWrap/>
        <w:overflowPunct/>
        <w:topLinePunct w:val="0"/>
        <w:autoSpaceDE/>
        <w:autoSpaceDN/>
        <w:bidi w:val="0"/>
        <w:adjustRightInd w:val="0"/>
        <w:snapToGrid w:val="0"/>
        <w:spacing w:before="164" w:beforeLines="50"/>
        <w:ind w:leftChars="0"/>
        <w:textAlignment w:val="auto"/>
        <w:outlineLvl w:val="0"/>
        <w:rPr>
          <w:rFonts w:hint="eastAsia" w:ascii="仿宋" w:hAnsi="仿宋" w:eastAsia="仿宋" w:cs="仿宋"/>
          <w:b/>
          <w:bCs/>
          <w:color w:val="auto"/>
          <w:sz w:val="30"/>
          <w:szCs w:val="30"/>
          <w:highlight w:val="none"/>
          <w:lang w:val="en-US" w:eastAsia="zh-CN"/>
        </w:rPr>
      </w:pPr>
      <w:bookmarkStart w:id="61" w:name="_Toc5403"/>
      <w:bookmarkStart w:id="62" w:name="_Toc93997289"/>
      <w:bookmarkStart w:id="63" w:name="_Toc93997372"/>
      <w:r>
        <w:rPr>
          <w:rFonts w:hint="eastAsia" w:ascii="仿宋" w:hAnsi="仿宋" w:eastAsia="仿宋" w:cs="仿宋"/>
          <w:b/>
          <w:bCs/>
          <w:color w:val="auto"/>
          <w:sz w:val="30"/>
          <w:szCs w:val="30"/>
          <w:highlight w:val="none"/>
          <w:lang w:val="en-US" w:eastAsia="zh-CN"/>
        </w:rPr>
        <w:t>4.4人行道及植物绿化调查</w:t>
      </w:r>
    </w:p>
    <w:p w14:paraId="75FDCB98">
      <w:pPr>
        <w:rPr>
          <w:rFonts w:hint="eastAsia"/>
          <w:color w:val="auto"/>
          <w:highlight w:val="none"/>
          <w:lang w:val="en-US" w:eastAsia="zh-CN"/>
        </w:rPr>
      </w:pPr>
      <w:r>
        <w:rPr>
          <w:rFonts w:hint="eastAsia" w:ascii="仿宋" w:hAnsi="仿宋" w:eastAsia="仿宋" w:cs="仿宋"/>
          <w:color w:val="auto"/>
          <w:highlight w:val="none"/>
          <w:lang w:val="en-US" w:eastAsia="zh-CN"/>
        </w:rPr>
        <w:t>现状广茂大道人行道铺装已经长达7年之久，材料陈旧、松动、局部路段存在破损及沉陷情况，路缘石破损严重，无障碍设施不完善；现状行道树为香樟，与广茂大道北段一致，树池破损严重，内部杂乱，部分树池为凸起式树池，严重侵占有限的人行空间；中央绿化带植物长势不良，密度低，街边闲置绿地荒芜，市政箱体严重影响市容市貌。</w:t>
      </w:r>
    </w:p>
    <w:p w14:paraId="5023596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color w:val="auto"/>
          <w:highlight w:val="none"/>
          <w:lang w:val="en-US" w:eastAsia="zh-CN"/>
        </w:rPr>
      </w:pPr>
      <w:r>
        <w:rPr>
          <w:color w:val="auto"/>
          <w:highlight w:val="none"/>
        </w:rPr>
        <w:drawing>
          <wp:inline distT="0" distB="0" distL="114300" distR="114300">
            <wp:extent cx="2778760" cy="2169160"/>
            <wp:effectExtent l="0" t="0" r="2540" b="2540"/>
            <wp:docPr id="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1"/>
                    <pic:cNvPicPr>
                      <a:picLocks noChangeAspect="1"/>
                    </pic:cNvPicPr>
                  </pic:nvPicPr>
                  <pic:blipFill>
                    <a:blip r:embed="rId15"/>
                    <a:stretch>
                      <a:fillRect/>
                    </a:stretch>
                  </pic:blipFill>
                  <pic:spPr>
                    <a:xfrm>
                      <a:off x="0" y="0"/>
                      <a:ext cx="2778760" cy="2169160"/>
                    </a:xfrm>
                    <a:prstGeom prst="rect">
                      <a:avLst/>
                    </a:prstGeom>
                    <a:noFill/>
                    <a:ln>
                      <a:noFill/>
                    </a:ln>
                  </pic:spPr>
                </pic:pic>
              </a:graphicData>
            </a:graphic>
          </wp:inline>
        </w:drawing>
      </w:r>
      <w:r>
        <w:rPr>
          <w:rFonts w:hint="eastAsia"/>
          <w:color w:val="auto"/>
          <w:highlight w:val="none"/>
          <w:lang w:val="en-US" w:eastAsia="zh-CN"/>
        </w:rPr>
        <w:t xml:space="preserve"> </w:t>
      </w:r>
      <w:r>
        <w:rPr>
          <w:color w:val="auto"/>
          <w:highlight w:val="none"/>
        </w:rPr>
        <w:drawing>
          <wp:inline distT="0" distB="0" distL="114300" distR="114300">
            <wp:extent cx="2834640" cy="2151380"/>
            <wp:effectExtent l="0" t="0" r="3810" b="1270"/>
            <wp:docPr id="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2"/>
                    <pic:cNvPicPr>
                      <a:picLocks noChangeAspect="1"/>
                    </pic:cNvPicPr>
                  </pic:nvPicPr>
                  <pic:blipFill>
                    <a:blip r:embed="rId16"/>
                    <a:stretch>
                      <a:fillRect/>
                    </a:stretch>
                  </pic:blipFill>
                  <pic:spPr>
                    <a:xfrm>
                      <a:off x="0" y="0"/>
                      <a:ext cx="2834640" cy="2151380"/>
                    </a:xfrm>
                    <a:prstGeom prst="rect">
                      <a:avLst/>
                    </a:prstGeom>
                    <a:noFill/>
                    <a:ln>
                      <a:noFill/>
                    </a:ln>
                  </pic:spPr>
                </pic:pic>
              </a:graphicData>
            </a:graphic>
          </wp:inline>
        </w:drawing>
      </w:r>
      <w:r>
        <w:rPr>
          <w:rFonts w:hint="eastAsia"/>
          <w:color w:val="auto"/>
          <w:highlight w:val="none"/>
          <w:lang w:val="en-US" w:eastAsia="zh-CN"/>
        </w:rPr>
        <w:t xml:space="preserve"> </w:t>
      </w:r>
    </w:p>
    <w:p w14:paraId="436A8A0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人行道铺装破损、树池“挡路”、街边绿地荒芜</w:t>
      </w:r>
    </w:p>
    <w:p w14:paraId="4F0C677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color w:val="auto"/>
          <w:highlight w:val="none"/>
        </w:rPr>
      </w:pPr>
      <w:r>
        <w:rPr>
          <w:color w:val="auto"/>
          <w:highlight w:val="none"/>
        </w:rPr>
        <w:drawing>
          <wp:inline distT="0" distB="0" distL="114300" distR="114300">
            <wp:extent cx="2886710" cy="2273300"/>
            <wp:effectExtent l="0" t="0" r="8890" b="12700"/>
            <wp:docPr id="3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3"/>
                    <pic:cNvPicPr>
                      <a:picLocks noChangeAspect="1"/>
                    </pic:cNvPicPr>
                  </pic:nvPicPr>
                  <pic:blipFill>
                    <a:blip r:embed="rId17"/>
                    <a:srcRect t="9371"/>
                    <a:stretch>
                      <a:fillRect/>
                    </a:stretch>
                  </pic:blipFill>
                  <pic:spPr>
                    <a:xfrm>
                      <a:off x="0" y="0"/>
                      <a:ext cx="2886710" cy="2273300"/>
                    </a:xfrm>
                    <a:prstGeom prst="rect">
                      <a:avLst/>
                    </a:prstGeom>
                    <a:noFill/>
                    <a:ln>
                      <a:noFill/>
                    </a:ln>
                  </pic:spPr>
                </pic:pic>
              </a:graphicData>
            </a:graphic>
          </wp:inline>
        </w:drawing>
      </w:r>
      <w:r>
        <w:rPr>
          <w:rFonts w:hint="eastAsia"/>
          <w:color w:val="auto"/>
          <w:highlight w:val="none"/>
          <w:lang w:val="en-US" w:eastAsia="zh-CN"/>
        </w:rPr>
        <w:t xml:space="preserve"> </w:t>
      </w:r>
      <w:r>
        <w:rPr>
          <w:color w:val="auto"/>
          <w:highlight w:val="none"/>
        </w:rPr>
        <w:drawing>
          <wp:inline distT="0" distB="0" distL="114300" distR="114300">
            <wp:extent cx="2741295" cy="2287905"/>
            <wp:effectExtent l="0" t="0" r="1905" b="17145"/>
            <wp:docPr id="3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4"/>
                    <pic:cNvPicPr>
                      <a:picLocks noChangeAspect="1"/>
                    </pic:cNvPicPr>
                  </pic:nvPicPr>
                  <pic:blipFill>
                    <a:blip r:embed="rId18"/>
                    <a:srcRect t="9012"/>
                    <a:stretch>
                      <a:fillRect/>
                    </a:stretch>
                  </pic:blipFill>
                  <pic:spPr>
                    <a:xfrm>
                      <a:off x="0" y="0"/>
                      <a:ext cx="2741295" cy="2287905"/>
                    </a:xfrm>
                    <a:prstGeom prst="rect">
                      <a:avLst/>
                    </a:prstGeom>
                    <a:noFill/>
                    <a:ln>
                      <a:noFill/>
                    </a:ln>
                  </pic:spPr>
                </pic:pic>
              </a:graphicData>
            </a:graphic>
          </wp:inline>
        </w:drawing>
      </w:r>
    </w:p>
    <w:p w14:paraId="2CC49D8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无障碍坡道缺失、电力盖板破损不协调</w:t>
      </w:r>
    </w:p>
    <w:p w14:paraId="29EEC1D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color w:val="auto"/>
          <w:highlight w:val="none"/>
        </w:rPr>
      </w:pPr>
      <w:r>
        <w:rPr>
          <w:color w:val="auto"/>
          <w:highlight w:val="none"/>
        </w:rPr>
        <w:drawing>
          <wp:inline distT="0" distB="0" distL="114300" distR="114300">
            <wp:extent cx="2792730" cy="2131060"/>
            <wp:effectExtent l="0" t="0" r="0" b="0"/>
            <wp:docPr id="3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5"/>
                    <pic:cNvPicPr>
                      <a:picLocks noChangeAspect="1"/>
                    </pic:cNvPicPr>
                  </pic:nvPicPr>
                  <pic:blipFill>
                    <a:blip r:embed="rId19"/>
                    <a:srcRect l="11048" t="7293" r="6033"/>
                    <a:stretch>
                      <a:fillRect/>
                    </a:stretch>
                  </pic:blipFill>
                  <pic:spPr>
                    <a:xfrm>
                      <a:off x="0" y="0"/>
                      <a:ext cx="2792730" cy="2131060"/>
                    </a:xfrm>
                    <a:prstGeom prst="rect">
                      <a:avLst/>
                    </a:prstGeom>
                    <a:noFill/>
                    <a:ln>
                      <a:noFill/>
                    </a:ln>
                  </pic:spPr>
                </pic:pic>
              </a:graphicData>
            </a:graphic>
          </wp:inline>
        </w:drawing>
      </w:r>
      <w:r>
        <w:rPr>
          <w:rFonts w:hint="eastAsia"/>
          <w:color w:val="auto"/>
          <w:highlight w:val="none"/>
          <w:lang w:val="en-US" w:eastAsia="zh-CN"/>
        </w:rPr>
        <w:t xml:space="preserve"> </w:t>
      </w:r>
      <w:r>
        <w:rPr>
          <w:color w:val="auto"/>
          <w:highlight w:val="none"/>
        </w:rPr>
        <w:drawing>
          <wp:inline distT="0" distB="0" distL="114300" distR="114300">
            <wp:extent cx="2945130" cy="2131060"/>
            <wp:effectExtent l="0" t="0" r="0" b="0"/>
            <wp:docPr id="3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6"/>
                    <pic:cNvPicPr>
                      <a:picLocks noChangeAspect="1"/>
                    </pic:cNvPicPr>
                  </pic:nvPicPr>
                  <pic:blipFill>
                    <a:blip r:embed="rId20"/>
                    <a:srcRect t="17745"/>
                    <a:stretch>
                      <a:fillRect/>
                    </a:stretch>
                  </pic:blipFill>
                  <pic:spPr>
                    <a:xfrm>
                      <a:off x="0" y="0"/>
                      <a:ext cx="2945130" cy="2131060"/>
                    </a:xfrm>
                    <a:prstGeom prst="rect">
                      <a:avLst/>
                    </a:prstGeom>
                    <a:noFill/>
                    <a:ln>
                      <a:noFill/>
                    </a:ln>
                  </pic:spPr>
                </pic:pic>
              </a:graphicData>
            </a:graphic>
          </wp:inline>
        </w:drawing>
      </w:r>
    </w:p>
    <w:p w14:paraId="58C0971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中央绿化带长势不良、市政箱体有碍观瞻</w:t>
      </w:r>
    </w:p>
    <w:p w14:paraId="2BC747C4">
      <w:pPr>
        <w:keepNext w:val="0"/>
        <w:keepLines w:val="0"/>
        <w:pageBreakBefore w:val="0"/>
        <w:widowControl w:val="0"/>
        <w:kinsoku/>
        <w:wordWrap/>
        <w:overflowPunct/>
        <w:topLinePunct w:val="0"/>
        <w:autoSpaceDE/>
        <w:autoSpaceDN/>
        <w:bidi w:val="0"/>
        <w:adjustRightInd/>
        <w:snapToGrid/>
        <w:ind w:firstLine="0" w:firstLineChars="0"/>
        <w:jc w:val="both"/>
        <w:textAlignment w:val="auto"/>
        <w:rPr>
          <w:rFonts w:hint="eastAsia" w:ascii="仿宋" w:hAnsi="仿宋" w:eastAsia="仿宋" w:cs="仿宋"/>
          <w:b/>
          <w:bCs/>
          <w:color w:val="auto"/>
          <w:sz w:val="30"/>
          <w:szCs w:val="30"/>
          <w:highlight w:val="none"/>
          <w:lang w:val="en-US" w:eastAsia="zh-CN"/>
        </w:rPr>
      </w:pPr>
      <w:r>
        <w:rPr>
          <w:rFonts w:hint="eastAsia" w:ascii="仿宋" w:hAnsi="仿宋" w:eastAsia="仿宋" w:cs="仿宋"/>
          <w:b/>
          <w:bCs/>
          <w:color w:val="auto"/>
          <w:sz w:val="30"/>
          <w:szCs w:val="30"/>
          <w:highlight w:val="none"/>
          <w:lang w:val="en-US" w:eastAsia="zh-CN"/>
        </w:rPr>
        <w:t>4.5地下管网调查</w:t>
      </w:r>
    </w:p>
    <w:p w14:paraId="49037BDA">
      <w:pPr>
        <w:keepNext w:val="0"/>
        <w:keepLines w:val="0"/>
        <w:pageBreakBefore w:val="0"/>
        <w:widowControl w:val="0"/>
        <w:kinsoku/>
        <w:wordWrap/>
        <w:overflowPunct/>
        <w:topLinePunct w:val="0"/>
        <w:autoSpaceDE/>
        <w:autoSpaceDN/>
        <w:bidi w:val="0"/>
        <w:adjustRightInd/>
        <w:snapToGrid/>
        <w:ind w:firstLine="0" w:firstLineChars="0"/>
        <w:jc w:val="both"/>
        <w:textAlignment w:val="auto"/>
        <w:rPr>
          <w:rFonts w:hint="eastAsia" w:ascii="仿宋" w:hAnsi="仿宋" w:eastAsia="仿宋" w:cs="仿宋"/>
          <w:b/>
          <w:bCs/>
          <w:color w:val="auto"/>
          <w:sz w:val="24"/>
          <w:szCs w:val="24"/>
          <w:highlight w:val="none"/>
          <w:lang w:val="en-US" w:eastAsia="zh-CN"/>
        </w:rPr>
      </w:pPr>
      <w:r>
        <w:rPr>
          <w:rFonts w:hint="eastAsia" w:ascii="仿宋" w:hAnsi="仿宋" w:eastAsia="仿宋" w:cs="仿宋"/>
          <w:b/>
          <w:bCs/>
          <w:color w:val="auto"/>
          <w:sz w:val="24"/>
          <w:szCs w:val="24"/>
          <w:highlight w:val="none"/>
          <w:lang w:val="en-US" w:eastAsia="zh-CN"/>
        </w:rPr>
        <w:t>4.5.1现状管网布置</w:t>
      </w:r>
    </w:p>
    <w:p w14:paraId="660C82DE">
      <w:pPr>
        <w:keepNext w:val="0"/>
        <w:keepLines w:val="0"/>
        <w:pageBreakBefore w:val="0"/>
        <w:widowControl w:val="0"/>
        <w:kinsoku/>
        <w:wordWrap/>
        <w:overflowPunct/>
        <w:topLinePunct w:val="0"/>
        <w:autoSpaceDE/>
        <w:autoSpaceDN/>
        <w:bidi w:val="0"/>
        <w:adjustRightInd/>
        <w:snapToGrid/>
        <w:ind w:firstLine="480" w:firstLineChars="200"/>
        <w:jc w:val="left"/>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广茂大道西侧布置有管径d500</w:t>
      </w:r>
      <w:r>
        <w:rPr>
          <w:rFonts w:hint="default" w:ascii="Times New Roman" w:hAnsi="Times New Roman" w:eastAsia="仿宋" w:cs="Times New Roman"/>
          <w:color w:val="auto"/>
          <w:highlight w:val="none"/>
          <w:lang w:val="en-US" w:eastAsia="zh-CN"/>
        </w:rPr>
        <w:t>~</w:t>
      </w:r>
      <w:r>
        <w:rPr>
          <w:rFonts w:hint="eastAsia" w:ascii="仿宋" w:hAnsi="仿宋" w:eastAsia="仿宋" w:cs="仿宋"/>
          <w:color w:val="auto"/>
          <w:highlight w:val="none"/>
          <w:lang w:val="en-US" w:eastAsia="zh-CN"/>
        </w:rPr>
        <w:t>d600的雨水管网一根，东侧布置有管径d400</w:t>
      </w:r>
      <w:r>
        <w:rPr>
          <w:rFonts w:hint="default" w:ascii="Times New Roman" w:hAnsi="Times New Roman" w:eastAsia="仿宋" w:cs="Times New Roman"/>
          <w:color w:val="auto"/>
          <w:highlight w:val="none"/>
          <w:lang w:val="en-US" w:eastAsia="zh-CN"/>
        </w:rPr>
        <w:t>~</w:t>
      </w:r>
      <w:r>
        <w:rPr>
          <w:rFonts w:hint="eastAsia" w:ascii="仿宋" w:hAnsi="仿宋" w:eastAsia="仿宋" w:cs="仿宋"/>
          <w:color w:val="auto"/>
          <w:highlight w:val="none"/>
          <w:lang w:val="en-US" w:eastAsia="zh-CN"/>
        </w:rPr>
        <w:t>d1200的雨水管网一根，管径d400的污水管网一根。</w:t>
      </w:r>
    </w:p>
    <w:p w14:paraId="7414260B">
      <w:pPr>
        <w:keepNext w:val="0"/>
        <w:keepLines w:val="0"/>
        <w:pageBreakBefore w:val="0"/>
        <w:widowControl w:val="0"/>
        <w:kinsoku/>
        <w:wordWrap/>
        <w:overflowPunct/>
        <w:topLinePunct w:val="0"/>
        <w:autoSpaceDE/>
        <w:autoSpaceDN/>
        <w:bidi w:val="0"/>
        <w:adjustRightInd/>
        <w:snapToGrid/>
        <w:ind w:firstLine="0" w:firstLineChars="0"/>
        <w:jc w:val="both"/>
        <w:textAlignment w:val="auto"/>
        <w:rPr>
          <w:rFonts w:hint="eastAsia" w:ascii="仿宋" w:hAnsi="仿宋" w:eastAsia="仿宋" w:cs="仿宋"/>
          <w:b/>
          <w:bCs/>
          <w:color w:val="auto"/>
          <w:sz w:val="24"/>
          <w:szCs w:val="24"/>
          <w:highlight w:val="none"/>
          <w:lang w:val="en-US" w:eastAsia="zh-CN"/>
        </w:rPr>
      </w:pPr>
      <w:r>
        <w:rPr>
          <w:rFonts w:hint="eastAsia" w:ascii="仿宋" w:hAnsi="仿宋" w:eastAsia="仿宋" w:cs="仿宋"/>
          <w:b/>
          <w:bCs/>
          <w:color w:val="auto"/>
          <w:sz w:val="24"/>
          <w:szCs w:val="24"/>
          <w:highlight w:val="none"/>
          <w:lang w:val="en-US" w:eastAsia="zh-CN"/>
        </w:rPr>
        <w:t>4.5.2现状管网情况</w:t>
      </w:r>
    </w:p>
    <w:p w14:paraId="532C6D4E">
      <w:pPr>
        <w:keepNext w:val="0"/>
        <w:keepLines w:val="0"/>
        <w:pageBreakBefore w:val="0"/>
        <w:widowControl w:val="0"/>
        <w:kinsoku/>
        <w:wordWrap/>
        <w:overflowPunct/>
        <w:topLinePunct w:val="0"/>
        <w:autoSpaceDE/>
        <w:autoSpaceDN/>
        <w:bidi w:val="0"/>
        <w:adjustRightInd/>
        <w:snapToGrid/>
        <w:ind w:firstLine="480" w:firstLineChars="200"/>
        <w:jc w:val="both"/>
        <w:textAlignment w:val="auto"/>
        <w:rPr>
          <w:rFonts w:hint="eastAsia" w:ascii="仿宋" w:hAnsi="仿宋" w:eastAsia="仿宋" w:cs="仿宋"/>
          <w:color w:val="auto"/>
          <w:highlight w:val="none"/>
          <w:lang w:val="en-US" w:eastAsia="zh-CN"/>
        </w:rPr>
      </w:pPr>
      <w:r>
        <w:rPr>
          <w:rFonts w:hint="eastAsia" w:ascii="宋体" w:hAnsi="宋体" w:eastAsia="宋体" w:cs="宋体"/>
          <w:color w:val="auto"/>
          <w:highlight w:val="none"/>
          <w:lang w:val="en-US" w:eastAsia="zh-CN"/>
        </w:rPr>
        <w:t>①</w:t>
      </w:r>
      <w:r>
        <w:rPr>
          <w:rFonts w:hint="eastAsia" w:ascii="仿宋" w:hAnsi="仿宋" w:eastAsia="仿宋" w:cs="仿宋"/>
          <w:color w:val="auto"/>
          <w:highlight w:val="none"/>
          <w:lang w:val="en-US" w:eastAsia="zh-CN"/>
        </w:rPr>
        <w:t>部分雨水篦子、检查井井盖丢失；</w:t>
      </w:r>
    </w:p>
    <w:p w14:paraId="29781299">
      <w:pPr>
        <w:keepNext w:val="0"/>
        <w:keepLines w:val="0"/>
        <w:pageBreakBefore w:val="0"/>
        <w:widowControl w:val="0"/>
        <w:kinsoku/>
        <w:wordWrap/>
        <w:overflowPunct/>
        <w:topLinePunct w:val="0"/>
        <w:autoSpaceDE/>
        <w:autoSpaceDN/>
        <w:bidi w:val="0"/>
        <w:adjustRightInd/>
        <w:snapToGrid/>
        <w:ind w:firstLine="480" w:firstLineChars="200"/>
        <w:jc w:val="both"/>
        <w:textAlignment w:val="auto"/>
        <w:rPr>
          <w:rFonts w:hint="eastAsia" w:ascii="仿宋" w:hAnsi="仿宋" w:eastAsia="仿宋" w:cs="仿宋"/>
          <w:color w:val="auto"/>
          <w:highlight w:val="none"/>
          <w:lang w:val="en-US" w:eastAsia="zh-CN"/>
        </w:rPr>
      </w:pPr>
      <w:r>
        <w:rPr>
          <w:rFonts w:hint="eastAsia" w:ascii="宋体" w:hAnsi="宋体" w:eastAsia="宋体" w:cs="宋体"/>
          <w:color w:val="auto"/>
          <w:highlight w:val="none"/>
          <w:lang w:val="en-US" w:eastAsia="zh-CN"/>
        </w:rPr>
        <w:t>②</w:t>
      </w:r>
      <w:r>
        <w:rPr>
          <w:rFonts w:hint="eastAsia" w:ascii="仿宋" w:hAnsi="仿宋" w:eastAsia="仿宋" w:cs="仿宋"/>
          <w:color w:val="auto"/>
          <w:highlight w:val="none"/>
          <w:lang w:val="en-US" w:eastAsia="zh-CN"/>
        </w:rPr>
        <w:t>由于重车过往较多，雨水篦子损坏严重，影响行人通行安全；</w:t>
      </w:r>
    </w:p>
    <w:p w14:paraId="6E28A46F">
      <w:pPr>
        <w:keepNext w:val="0"/>
        <w:keepLines w:val="0"/>
        <w:pageBreakBefore w:val="0"/>
        <w:widowControl w:val="0"/>
        <w:kinsoku/>
        <w:wordWrap/>
        <w:overflowPunct/>
        <w:topLinePunct w:val="0"/>
        <w:autoSpaceDE/>
        <w:autoSpaceDN/>
        <w:bidi w:val="0"/>
        <w:adjustRightInd/>
        <w:snapToGrid/>
        <w:ind w:firstLine="480" w:firstLineChars="200"/>
        <w:jc w:val="both"/>
        <w:textAlignment w:val="auto"/>
        <w:rPr>
          <w:rFonts w:hint="eastAsia" w:ascii="仿宋" w:hAnsi="仿宋" w:eastAsia="仿宋" w:cs="仿宋"/>
          <w:color w:val="auto"/>
          <w:highlight w:val="none"/>
          <w:lang w:val="en-US" w:eastAsia="zh-CN"/>
        </w:rPr>
      </w:pPr>
      <w:r>
        <w:rPr>
          <w:rFonts w:hint="eastAsia" w:ascii="宋体" w:hAnsi="宋体" w:eastAsia="宋体" w:cs="宋体"/>
          <w:color w:val="auto"/>
          <w:highlight w:val="none"/>
          <w:lang w:val="en-US" w:eastAsia="zh-CN"/>
        </w:rPr>
        <w:t>③</w:t>
      </w:r>
      <w:r>
        <w:rPr>
          <w:rFonts w:hint="eastAsia" w:ascii="仿宋" w:hAnsi="仿宋" w:eastAsia="仿宋" w:cs="仿宋"/>
          <w:color w:val="auto"/>
          <w:highlight w:val="none"/>
          <w:lang w:val="en-US" w:eastAsia="zh-CN"/>
        </w:rPr>
        <w:t>雨水篦子为塑料材质，不满足规范及承载要求；</w:t>
      </w:r>
    </w:p>
    <w:p w14:paraId="08CB5768">
      <w:pPr>
        <w:keepNext w:val="0"/>
        <w:keepLines w:val="0"/>
        <w:pageBreakBefore w:val="0"/>
        <w:widowControl w:val="0"/>
        <w:kinsoku/>
        <w:wordWrap/>
        <w:overflowPunct/>
        <w:topLinePunct w:val="0"/>
        <w:autoSpaceDE/>
        <w:autoSpaceDN/>
        <w:bidi w:val="0"/>
        <w:adjustRightInd/>
        <w:snapToGrid/>
        <w:ind w:firstLine="480" w:firstLineChars="200"/>
        <w:jc w:val="both"/>
        <w:textAlignment w:val="auto"/>
        <w:rPr>
          <w:rFonts w:hint="eastAsia" w:ascii="仿宋" w:hAnsi="仿宋" w:eastAsia="仿宋" w:cs="仿宋"/>
          <w:color w:val="auto"/>
          <w:highlight w:val="none"/>
          <w:lang w:val="en-US" w:eastAsia="zh-CN"/>
        </w:rPr>
      </w:pPr>
      <w:r>
        <w:rPr>
          <w:rFonts w:hint="eastAsia" w:ascii="宋体" w:hAnsi="宋体" w:eastAsia="宋体" w:cs="宋体"/>
          <w:color w:val="auto"/>
          <w:highlight w:val="none"/>
          <w:lang w:val="en-US" w:eastAsia="zh-CN"/>
        </w:rPr>
        <w:t>④</w:t>
      </w:r>
      <w:r>
        <w:rPr>
          <w:rFonts w:hint="eastAsia" w:ascii="仿宋" w:hAnsi="仿宋" w:eastAsia="仿宋" w:cs="仿宋"/>
          <w:color w:val="auto"/>
          <w:highlight w:val="none"/>
          <w:lang w:val="en-US" w:eastAsia="zh-CN"/>
        </w:rPr>
        <w:t>检查井防坠网缺失，存在安全隐患；</w:t>
      </w:r>
    </w:p>
    <w:p w14:paraId="20628026">
      <w:pPr>
        <w:keepNext w:val="0"/>
        <w:keepLines w:val="0"/>
        <w:pageBreakBefore w:val="0"/>
        <w:widowControl w:val="0"/>
        <w:kinsoku/>
        <w:wordWrap/>
        <w:overflowPunct/>
        <w:topLinePunct w:val="0"/>
        <w:autoSpaceDE/>
        <w:autoSpaceDN/>
        <w:bidi w:val="0"/>
        <w:adjustRightInd/>
        <w:snapToGrid/>
        <w:ind w:firstLine="480" w:firstLineChars="200"/>
        <w:jc w:val="both"/>
        <w:textAlignment w:val="auto"/>
        <w:rPr>
          <w:rFonts w:hint="eastAsia" w:ascii="仿宋" w:hAnsi="仿宋" w:eastAsia="仿宋" w:cs="仿宋"/>
          <w:color w:val="auto"/>
          <w:highlight w:val="none"/>
          <w:lang w:val="en-US" w:eastAsia="zh-CN"/>
        </w:rPr>
      </w:pPr>
      <w:r>
        <w:rPr>
          <w:rFonts w:hint="eastAsia" w:ascii="宋体" w:hAnsi="宋体" w:eastAsia="宋体" w:cs="宋体"/>
          <w:color w:val="auto"/>
          <w:highlight w:val="none"/>
          <w:lang w:val="en-US" w:eastAsia="zh-CN"/>
        </w:rPr>
        <w:t>⑤</w:t>
      </w:r>
      <w:r>
        <w:rPr>
          <w:rFonts w:hint="eastAsia" w:ascii="仿宋" w:hAnsi="仿宋" w:eastAsia="仿宋" w:cs="仿宋"/>
          <w:color w:val="auto"/>
          <w:highlight w:val="none"/>
          <w:lang w:val="en-US" w:eastAsia="zh-CN"/>
        </w:rPr>
        <w:t>给水、通信、电力、路灯井盖材质，造型和道路铺装不搭配，影响市容市貌，部分井盖损坏、丢失。</w:t>
      </w:r>
    </w:p>
    <w:p w14:paraId="16242E71">
      <w:pPr>
        <w:keepNext w:val="0"/>
        <w:keepLines w:val="0"/>
        <w:pageBreakBefore w:val="0"/>
        <w:widowControl w:val="0"/>
        <w:kinsoku/>
        <w:wordWrap/>
        <w:overflowPunct/>
        <w:topLinePunct w:val="0"/>
        <w:autoSpaceDE/>
        <w:autoSpaceDN/>
        <w:bidi w:val="0"/>
        <w:adjustRightInd/>
        <w:snapToGrid/>
        <w:ind w:firstLine="480" w:firstLineChars="200"/>
        <w:jc w:val="center"/>
        <w:textAlignment w:val="auto"/>
        <w:rPr>
          <w:rFonts w:hint="default" w:ascii="仿宋" w:hAnsi="仿宋" w:eastAsia="仿宋" w:cs="仿宋"/>
          <w:color w:val="auto"/>
          <w:highlight w:val="none"/>
          <w:lang w:val="en-US" w:eastAsia="zh-CN"/>
        </w:rPr>
      </w:pPr>
      <w:r>
        <w:rPr>
          <w:rFonts w:hint="default" w:ascii="仿宋" w:hAnsi="仿宋" w:eastAsia="仿宋" w:cs="仿宋"/>
          <w:color w:val="auto"/>
          <w:highlight w:val="none"/>
          <w:lang w:val="en-US" w:eastAsia="zh-CN"/>
        </w:rPr>
        <w:drawing>
          <wp:inline distT="0" distB="0" distL="114300" distR="114300">
            <wp:extent cx="1982470" cy="2416175"/>
            <wp:effectExtent l="0" t="0" r="17780" b="3175"/>
            <wp:docPr id="2" name="图片 2" descr="a75db9d7fbd5e80728d053587aad5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75db9d7fbd5e80728d053587aad5b8"/>
                    <pic:cNvPicPr>
                      <a:picLocks noChangeAspect="1"/>
                    </pic:cNvPicPr>
                  </pic:nvPicPr>
                  <pic:blipFill>
                    <a:blip r:embed="rId21"/>
                    <a:srcRect t="12785" b="18554"/>
                    <a:stretch>
                      <a:fillRect/>
                    </a:stretch>
                  </pic:blipFill>
                  <pic:spPr>
                    <a:xfrm>
                      <a:off x="0" y="0"/>
                      <a:ext cx="1982470" cy="2416175"/>
                    </a:xfrm>
                    <a:prstGeom prst="rect">
                      <a:avLst/>
                    </a:prstGeom>
                  </pic:spPr>
                </pic:pic>
              </a:graphicData>
            </a:graphic>
          </wp:inline>
        </w:drawing>
      </w:r>
      <w:r>
        <w:rPr>
          <w:rFonts w:hint="eastAsia" w:ascii="仿宋" w:hAnsi="仿宋" w:eastAsia="仿宋" w:cs="仿宋"/>
          <w:color w:val="auto"/>
          <w:highlight w:val="none"/>
          <w:lang w:val="en-US" w:eastAsia="zh-CN"/>
        </w:rPr>
        <w:t xml:space="preserve"> </w:t>
      </w:r>
      <w:r>
        <w:rPr>
          <w:rFonts w:hint="default" w:ascii="仿宋" w:hAnsi="仿宋" w:eastAsia="仿宋" w:cs="仿宋"/>
          <w:color w:val="auto"/>
          <w:highlight w:val="none"/>
          <w:lang w:val="en-US" w:eastAsia="zh-CN"/>
        </w:rPr>
        <w:drawing>
          <wp:inline distT="0" distB="0" distL="114300" distR="114300">
            <wp:extent cx="2585085" cy="2417445"/>
            <wp:effectExtent l="0" t="0" r="5715" b="1905"/>
            <wp:docPr id="7" name="图片 7" descr="00ea7d61538fddb70503019119ee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00ea7d61538fddb70503019119ee361"/>
                    <pic:cNvPicPr>
                      <a:picLocks noChangeAspect="1"/>
                    </pic:cNvPicPr>
                  </pic:nvPicPr>
                  <pic:blipFill>
                    <a:blip r:embed="rId22"/>
                    <a:srcRect t="24811" b="22654"/>
                    <a:stretch>
                      <a:fillRect/>
                    </a:stretch>
                  </pic:blipFill>
                  <pic:spPr>
                    <a:xfrm>
                      <a:off x="0" y="0"/>
                      <a:ext cx="2585085" cy="2417445"/>
                    </a:xfrm>
                    <a:prstGeom prst="rect">
                      <a:avLst/>
                    </a:prstGeom>
                  </pic:spPr>
                </pic:pic>
              </a:graphicData>
            </a:graphic>
          </wp:inline>
        </w:drawing>
      </w:r>
    </w:p>
    <w:p w14:paraId="4EE77757">
      <w:pPr>
        <w:keepNext w:val="0"/>
        <w:keepLines w:val="0"/>
        <w:pageBreakBefore w:val="0"/>
        <w:widowControl w:val="0"/>
        <w:kinsoku/>
        <w:wordWrap/>
        <w:overflowPunct/>
        <w:topLinePunct w:val="0"/>
        <w:autoSpaceDE/>
        <w:autoSpaceDN/>
        <w:bidi w:val="0"/>
        <w:adjustRightInd/>
        <w:snapToGrid/>
        <w:ind w:firstLine="480" w:firstLineChars="200"/>
        <w:jc w:val="center"/>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雨水篦子、检查井井盖缺失</w:t>
      </w:r>
    </w:p>
    <w:p w14:paraId="21189D23">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hint="default" w:ascii="仿宋" w:hAnsi="仿宋" w:eastAsia="仿宋" w:cs="仿宋"/>
          <w:color w:val="auto"/>
          <w:highlight w:val="none"/>
          <w:lang w:val="en-US" w:eastAsia="zh-CN"/>
        </w:rPr>
      </w:pPr>
      <w:r>
        <w:rPr>
          <w:rFonts w:hint="default" w:ascii="仿宋" w:hAnsi="仿宋" w:eastAsia="仿宋" w:cs="仿宋"/>
          <w:color w:val="auto"/>
          <w:highlight w:val="none"/>
          <w:lang w:val="en-US" w:eastAsia="zh-CN"/>
        </w:rPr>
        <w:drawing>
          <wp:inline distT="0" distB="0" distL="114300" distR="114300">
            <wp:extent cx="1654175" cy="2428240"/>
            <wp:effectExtent l="0" t="0" r="0" b="0"/>
            <wp:docPr id="9" name="图片 9" descr="b079221c09308acdfe4729d09e33a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b079221c09308acdfe4729d09e33a14"/>
                    <pic:cNvPicPr>
                      <a:picLocks noChangeAspect="1"/>
                    </pic:cNvPicPr>
                  </pic:nvPicPr>
                  <pic:blipFill>
                    <a:blip r:embed="rId23"/>
                    <a:srcRect t="16989" b="288"/>
                    <a:stretch>
                      <a:fillRect/>
                    </a:stretch>
                  </pic:blipFill>
                  <pic:spPr>
                    <a:xfrm>
                      <a:off x="0" y="0"/>
                      <a:ext cx="1654175" cy="2428240"/>
                    </a:xfrm>
                    <a:prstGeom prst="rect">
                      <a:avLst/>
                    </a:prstGeom>
                  </pic:spPr>
                </pic:pic>
              </a:graphicData>
            </a:graphic>
          </wp:inline>
        </w:drawing>
      </w:r>
      <w:r>
        <w:rPr>
          <w:rFonts w:hint="default" w:ascii="仿宋" w:hAnsi="仿宋" w:eastAsia="仿宋" w:cs="仿宋"/>
          <w:color w:val="auto"/>
          <w:highlight w:val="none"/>
          <w:lang w:val="en-US" w:eastAsia="zh-CN"/>
        </w:rPr>
        <w:drawing>
          <wp:inline distT="0" distB="0" distL="114300" distR="114300">
            <wp:extent cx="1649095" cy="2411730"/>
            <wp:effectExtent l="0" t="0" r="0" b="0"/>
            <wp:docPr id="12" name="图片 12" descr="85b6f1a4e0d37bbdc16a27d0b9e61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85b6f1a4e0d37bbdc16a27d0b9e616b"/>
                    <pic:cNvPicPr>
                      <a:picLocks noChangeAspect="1"/>
                    </pic:cNvPicPr>
                  </pic:nvPicPr>
                  <pic:blipFill>
                    <a:blip r:embed="rId24"/>
                    <a:srcRect t="6481" b="11085"/>
                    <a:stretch>
                      <a:fillRect/>
                    </a:stretch>
                  </pic:blipFill>
                  <pic:spPr>
                    <a:xfrm>
                      <a:off x="0" y="0"/>
                      <a:ext cx="1649095" cy="2411730"/>
                    </a:xfrm>
                    <a:prstGeom prst="rect">
                      <a:avLst/>
                    </a:prstGeom>
                  </pic:spPr>
                </pic:pic>
              </a:graphicData>
            </a:graphic>
          </wp:inline>
        </w:drawing>
      </w:r>
      <w:r>
        <w:rPr>
          <w:rFonts w:hint="default" w:ascii="仿宋" w:hAnsi="仿宋" w:eastAsia="仿宋" w:cs="仿宋"/>
          <w:color w:val="auto"/>
          <w:highlight w:val="none"/>
          <w:lang w:val="en-US" w:eastAsia="zh-CN"/>
        </w:rPr>
        <w:drawing>
          <wp:inline distT="0" distB="0" distL="114300" distR="114300">
            <wp:extent cx="1604645" cy="2429510"/>
            <wp:effectExtent l="0" t="0" r="0" b="0"/>
            <wp:docPr id="13" name="图片 13" descr="319e84d78919d25c0695d2ef93568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319e84d78919d25c0695d2ef935689e"/>
                    <pic:cNvPicPr>
                      <a:picLocks noChangeAspect="1"/>
                    </pic:cNvPicPr>
                  </pic:nvPicPr>
                  <pic:blipFill>
                    <a:blip r:embed="rId25"/>
                    <a:srcRect t="4887" b="9814"/>
                    <a:stretch>
                      <a:fillRect/>
                    </a:stretch>
                  </pic:blipFill>
                  <pic:spPr>
                    <a:xfrm>
                      <a:off x="0" y="0"/>
                      <a:ext cx="1604645" cy="2429510"/>
                    </a:xfrm>
                    <a:prstGeom prst="rect">
                      <a:avLst/>
                    </a:prstGeom>
                  </pic:spPr>
                </pic:pic>
              </a:graphicData>
            </a:graphic>
          </wp:inline>
        </w:drawing>
      </w:r>
      <w:r>
        <w:rPr>
          <w:rFonts w:hint="default" w:ascii="仿宋" w:hAnsi="仿宋" w:eastAsia="仿宋" w:cs="仿宋"/>
          <w:color w:val="auto"/>
          <w:highlight w:val="none"/>
          <w:lang w:val="en-US" w:eastAsia="zh-CN"/>
        </w:rPr>
        <w:drawing>
          <wp:inline distT="0" distB="0" distL="114300" distR="114300">
            <wp:extent cx="1628775" cy="2431415"/>
            <wp:effectExtent l="0" t="0" r="0" b="0"/>
            <wp:docPr id="18" name="图片 18" descr="3e914adcf8a0f49b9e9bbc17981fe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3e914adcf8a0f49b9e9bbc17981fec3"/>
                    <pic:cNvPicPr>
                      <a:picLocks noChangeAspect="1"/>
                    </pic:cNvPicPr>
                  </pic:nvPicPr>
                  <pic:blipFill>
                    <a:blip r:embed="rId26"/>
                    <a:srcRect t="8594" b="7218"/>
                    <a:stretch>
                      <a:fillRect/>
                    </a:stretch>
                  </pic:blipFill>
                  <pic:spPr>
                    <a:xfrm>
                      <a:off x="0" y="0"/>
                      <a:ext cx="1628775" cy="2431415"/>
                    </a:xfrm>
                    <a:prstGeom prst="rect">
                      <a:avLst/>
                    </a:prstGeom>
                  </pic:spPr>
                </pic:pic>
              </a:graphicData>
            </a:graphic>
          </wp:inline>
        </w:drawing>
      </w:r>
    </w:p>
    <w:p w14:paraId="50497663">
      <w:pPr>
        <w:keepNext/>
        <w:keepLines/>
        <w:pageBreakBefore w:val="0"/>
        <w:widowControl w:val="0"/>
        <w:numPr>
          <w:ilvl w:val="0"/>
          <w:numId w:val="0"/>
        </w:numPr>
        <w:kinsoku/>
        <w:wordWrap/>
        <w:overflowPunct/>
        <w:topLinePunct w:val="0"/>
        <w:autoSpaceDE/>
        <w:autoSpaceDN/>
        <w:bidi w:val="0"/>
        <w:adjustRightInd/>
        <w:snapToGrid/>
        <w:ind w:firstLine="0" w:firstLineChars="0"/>
        <w:jc w:val="center"/>
        <w:textAlignment w:val="auto"/>
        <w:outlineLvl w:val="9"/>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雨水篦子损坏严重，材质为塑料材质          防坠网缺失</w:t>
      </w:r>
    </w:p>
    <w:p w14:paraId="56C2F0CB">
      <w:pPr>
        <w:keepNext/>
        <w:keepLines/>
        <w:pageBreakBefore w:val="0"/>
        <w:widowControl w:val="0"/>
        <w:numPr>
          <w:ilvl w:val="0"/>
          <w:numId w:val="0"/>
        </w:numPr>
        <w:kinsoku/>
        <w:wordWrap/>
        <w:overflowPunct/>
        <w:topLinePunct w:val="0"/>
        <w:autoSpaceDE/>
        <w:autoSpaceDN/>
        <w:bidi w:val="0"/>
        <w:adjustRightInd/>
        <w:snapToGrid/>
        <w:jc w:val="center"/>
        <w:textAlignment w:val="auto"/>
        <w:outlineLvl w:val="9"/>
        <w:rPr>
          <w:rFonts w:hint="default" w:ascii="仿宋" w:hAnsi="仿宋" w:eastAsia="仿宋" w:cs="仿宋"/>
          <w:color w:val="auto"/>
          <w:highlight w:val="none"/>
          <w:lang w:val="en-US" w:eastAsia="zh-CN"/>
        </w:rPr>
      </w:pPr>
      <w:r>
        <w:rPr>
          <w:rFonts w:hint="default" w:ascii="仿宋" w:hAnsi="仿宋" w:eastAsia="仿宋" w:cs="仿宋"/>
          <w:color w:val="auto"/>
          <w:highlight w:val="none"/>
          <w:lang w:val="en-US" w:eastAsia="zh-CN"/>
        </w:rPr>
        <w:drawing>
          <wp:inline distT="0" distB="0" distL="114300" distR="114300">
            <wp:extent cx="1652905" cy="2933065"/>
            <wp:effectExtent l="0" t="0" r="4445" b="635"/>
            <wp:docPr id="19" name="图片 19" descr="6b274f88323f91dbd52b6646eee40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6b274f88323f91dbd52b6646eee401a"/>
                    <pic:cNvPicPr>
                      <a:picLocks noChangeAspect="1"/>
                    </pic:cNvPicPr>
                  </pic:nvPicPr>
                  <pic:blipFill>
                    <a:blip r:embed="rId27"/>
                    <a:stretch>
                      <a:fillRect/>
                    </a:stretch>
                  </pic:blipFill>
                  <pic:spPr>
                    <a:xfrm>
                      <a:off x="0" y="0"/>
                      <a:ext cx="1652905" cy="2933065"/>
                    </a:xfrm>
                    <a:prstGeom prst="rect">
                      <a:avLst/>
                    </a:prstGeom>
                  </pic:spPr>
                </pic:pic>
              </a:graphicData>
            </a:graphic>
          </wp:inline>
        </w:drawing>
      </w:r>
      <w:r>
        <w:rPr>
          <w:rFonts w:hint="default" w:ascii="仿宋" w:hAnsi="仿宋" w:eastAsia="仿宋" w:cs="仿宋"/>
          <w:color w:val="auto"/>
          <w:highlight w:val="none"/>
          <w:lang w:val="en-US" w:eastAsia="zh-CN"/>
        </w:rPr>
        <w:drawing>
          <wp:inline distT="0" distB="0" distL="114300" distR="114300">
            <wp:extent cx="1653540" cy="2933700"/>
            <wp:effectExtent l="0" t="0" r="3810" b="0"/>
            <wp:docPr id="20" name="图片 20" descr="53c6fc868c0b7da59fbc2b18242f4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53c6fc868c0b7da59fbc2b18242f4ea"/>
                    <pic:cNvPicPr>
                      <a:picLocks noChangeAspect="1"/>
                    </pic:cNvPicPr>
                  </pic:nvPicPr>
                  <pic:blipFill>
                    <a:blip r:embed="rId28"/>
                    <a:stretch>
                      <a:fillRect/>
                    </a:stretch>
                  </pic:blipFill>
                  <pic:spPr>
                    <a:xfrm>
                      <a:off x="0" y="0"/>
                      <a:ext cx="1653540" cy="2933700"/>
                    </a:xfrm>
                    <a:prstGeom prst="rect">
                      <a:avLst/>
                    </a:prstGeom>
                  </pic:spPr>
                </pic:pic>
              </a:graphicData>
            </a:graphic>
          </wp:inline>
        </w:drawing>
      </w:r>
      <w:r>
        <w:rPr>
          <w:rFonts w:hint="default" w:ascii="仿宋" w:hAnsi="仿宋" w:eastAsia="仿宋" w:cs="仿宋"/>
          <w:color w:val="auto"/>
          <w:highlight w:val="none"/>
          <w:lang w:val="en-US" w:eastAsia="zh-CN"/>
        </w:rPr>
        <w:drawing>
          <wp:inline distT="0" distB="0" distL="114300" distR="114300">
            <wp:extent cx="1655445" cy="2927350"/>
            <wp:effectExtent l="0" t="0" r="0" b="0"/>
            <wp:docPr id="22" name="图片 22" descr="8bbebd18b291c5f0041fbed7bb96c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8bbebd18b291c5f0041fbed7bb96cc4"/>
                    <pic:cNvPicPr>
                      <a:picLocks noChangeAspect="1"/>
                    </pic:cNvPicPr>
                  </pic:nvPicPr>
                  <pic:blipFill>
                    <a:blip r:embed="rId29"/>
                    <a:srcRect t="647"/>
                    <a:stretch>
                      <a:fillRect/>
                    </a:stretch>
                  </pic:blipFill>
                  <pic:spPr>
                    <a:xfrm>
                      <a:off x="0" y="0"/>
                      <a:ext cx="1655445" cy="2927350"/>
                    </a:xfrm>
                    <a:prstGeom prst="rect">
                      <a:avLst/>
                    </a:prstGeom>
                  </pic:spPr>
                </pic:pic>
              </a:graphicData>
            </a:graphic>
          </wp:inline>
        </w:drawing>
      </w:r>
      <w:r>
        <w:rPr>
          <w:rFonts w:hint="default" w:ascii="仿宋" w:hAnsi="仿宋" w:eastAsia="仿宋" w:cs="仿宋"/>
          <w:color w:val="auto"/>
          <w:highlight w:val="none"/>
          <w:lang w:val="en-US" w:eastAsia="zh-CN"/>
        </w:rPr>
        <w:drawing>
          <wp:inline distT="0" distB="0" distL="114300" distR="114300">
            <wp:extent cx="1661795" cy="2912745"/>
            <wp:effectExtent l="0" t="0" r="0" b="0"/>
            <wp:docPr id="23" name="图片 23" descr="51267c1c774f797e5553e72811220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51267c1c774f797e5553e72811220ae"/>
                    <pic:cNvPicPr>
                      <a:picLocks noChangeAspect="1"/>
                    </pic:cNvPicPr>
                  </pic:nvPicPr>
                  <pic:blipFill>
                    <a:blip r:embed="rId30"/>
                    <a:srcRect t="1185"/>
                    <a:stretch>
                      <a:fillRect/>
                    </a:stretch>
                  </pic:blipFill>
                  <pic:spPr>
                    <a:xfrm>
                      <a:off x="0" y="0"/>
                      <a:ext cx="1661795" cy="2912745"/>
                    </a:xfrm>
                    <a:prstGeom prst="rect">
                      <a:avLst/>
                    </a:prstGeom>
                  </pic:spPr>
                </pic:pic>
              </a:graphicData>
            </a:graphic>
          </wp:inline>
        </w:drawing>
      </w:r>
    </w:p>
    <w:p w14:paraId="49AE326A">
      <w:pPr>
        <w:keepNext/>
        <w:keepLines/>
        <w:pageBreakBefore w:val="0"/>
        <w:widowControl w:val="0"/>
        <w:numPr>
          <w:ilvl w:val="0"/>
          <w:numId w:val="0"/>
        </w:numPr>
        <w:kinsoku/>
        <w:wordWrap/>
        <w:overflowPunct/>
        <w:topLinePunct w:val="0"/>
        <w:autoSpaceDE/>
        <w:autoSpaceDN/>
        <w:bidi w:val="0"/>
        <w:adjustRightInd w:val="0"/>
        <w:snapToGrid w:val="0"/>
        <w:jc w:val="center"/>
        <w:textAlignment w:val="auto"/>
        <w:outlineLvl w:val="9"/>
        <w:rPr>
          <w:rFonts w:hint="default"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给水、通信、电力、路灯井盖材质与周边铺装不搭配</w:t>
      </w:r>
    </w:p>
    <w:p w14:paraId="3858D8DA">
      <w:pPr>
        <w:keepNext/>
        <w:keepLines/>
        <w:pageBreakBefore w:val="0"/>
        <w:widowControl w:val="0"/>
        <w:numPr>
          <w:ilvl w:val="0"/>
          <w:numId w:val="0"/>
        </w:numPr>
        <w:kinsoku/>
        <w:wordWrap/>
        <w:overflowPunct/>
        <w:topLinePunct w:val="0"/>
        <w:autoSpaceDE/>
        <w:autoSpaceDN/>
        <w:bidi w:val="0"/>
        <w:adjustRightInd/>
        <w:snapToGrid/>
        <w:ind w:leftChars="0"/>
        <w:jc w:val="left"/>
        <w:textAlignment w:val="auto"/>
        <w:outlineLvl w:val="0"/>
        <w:rPr>
          <w:rFonts w:hint="eastAsia" w:ascii="仿宋" w:hAnsi="仿宋" w:eastAsia="仿宋" w:cs="仿宋"/>
          <w:b/>
          <w:bCs/>
          <w:color w:val="auto"/>
          <w:sz w:val="28"/>
          <w:szCs w:val="28"/>
          <w:highlight w:val="none"/>
          <w:lang w:val="en-US" w:eastAsia="zh-CN"/>
        </w:rPr>
      </w:pPr>
      <w:r>
        <w:rPr>
          <w:rFonts w:hint="eastAsia" w:ascii="仿宋" w:hAnsi="仿宋" w:eastAsia="仿宋" w:cs="仿宋"/>
          <w:b/>
          <w:bCs/>
          <w:color w:val="auto"/>
          <w:sz w:val="28"/>
          <w:szCs w:val="28"/>
          <w:highlight w:val="none"/>
          <w:lang w:val="en-US" w:eastAsia="zh-CN"/>
        </w:rPr>
        <w:t>五、</w:t>
      </w:r>
      <w:bookmarkEnd w:id="61"/>
      <w:r>
        <w:rPr>
          <w:rFonts w:hint="eastAsia" w:ascii="仿宋" w:hAnsi="仿宋" w:eastAsia="仿宋" w:cs="仿宋"/>
          <w:b/>
          <w:bCs/>
          <w:color w:val="auto"/>
          <w:sz w:val="28"/>
          <w:szCs w:val="28"/>
          <w:highlight w:val="none"/>
          <w:lang w:val="en-US" w:eastAsia="zh-CN"/>
        </w:rPr>
        <w:t>工程设计</w:t>
      </w:r>
    </w:p>
    <w:p w14:paraId="4FF3738A">
      <w:pPr>
        <w:keepNext/>
        <w:keepLines/>
        <w:pageBreakBefore w:val="0"/>
        <w:widowControl w:val="0"/>
        <w:numPr>
          <w:ilvl w:val="0"/>
          <w:numId w:val="0"/>
        </w:numPr>
        <w:kinsoku/>
        <w:wordWrap/>
        <w:overflowPunct/>
        <w:topLinePunct w:val="0"/>
        <w:autoSpaceDE/>
        <w:autoSpaceDN/>
        <w:bidi w:val="0"/>
        <w:adjustRightInd/>
        <w:snapToGrid/>
        <w:spacing w:line="360" w:lineRule="auto"/>
        <w:ind w:leftChars="0"/>
        <w:jc w:val="left"/>
        <w:textAlignment w:val="auto"/>
        <w:outlineLvl w:val="1"/>
        <w:rPr>
          <w:rFonts w:hint="eastAsia" w:ascii="仿宋" w:hAnsi="仿宋" w:eastAsia="仿宋" w:cs="仿宋"/>
          <w:b/>
          <w:bCs/>
          <w:color w:val="auto"/>
          <w:sz w:val="28"/>
          <w:szCs w:val="28"/>
          <w:highlight w:val="none"/>
          <w:lang w:val="en-US" w:eastAsia="zh-CN"/>
        </w:rPr>
      </w:pPr>
      <w:bookmarkStart w:id="64" w:name="_Toc13659"/>
      <w:r>
        <w:rPr>
          <w:rFonts w:hint="eastAsia" w:ascii="仿宋" w:hAnsi="仿宋" w:eastAsia="仿宋" w:cs="仿宋"/>
          <w:b/>
          <w:bCs/>
          <w:color w:val="auto"/>
          <w:sz w:val="28"/>
          <w:szCs w:val="28"/>
          <w:highlight w:val="none"/>
          <w:lang w:val="en-US" w:eastAsia="zh-CN"/>
        </w:rPr>
        <w:t>5.1</w:t>
      </w:r>
      <w:bookmarkEnd w:id="64"/>
      <w:r>
        <w:rPr>
          <w:rFonts w:hint="eastAsia" w:ascii="仿宋" w:hAnsi="仿宋" w:eastAsia="仿宋" w:cs="仿宋"/>
          <w:b/>
          <w:bCs/>
          <w:color w:val="auto"/>
          <w:sz w:val="28"/>
          <w:szCs w:val="28"/>
          <w:highlight w:val="none"/>
          <w:lang w:val="en-US" w:eastAsia="zh-CN"/>
        </w:rPr>
        <w:t>道路修复提升</w:t>
      </w:r>
    </w:p>
    <w:p w14:paraId="54000E83">
      <w:pPr>
        <w:keepNext/>
        <w:keepLines/>
        <w:pageBreakBefore w:val="0"/>
        <w:widowControl w:val="0"/>
        <w:numPr>
          <w:ilvl w:val="0"/>
          <w:numId w:val="0"/>
        </w:numPr>
        <w:kinsoku/>
        <w:wordWrap/>
        <w:overflowPunct/>
        <w:topLinePunct w:val="0"/>
        <w:autoSpaceDE/>
        <w:autoSpaceDN/>
        <w:bidi w:val="0"/>
        <w:adjustRightInd/>
        <w:snapToGrid/>
        <w:jc w:val="left"/>
        <w:textAlignment w:val="auto"/>
        <w:outlineLvl w:val="2"/>
        <w:rPr>
          <w:rFonts w:hint="eastAsia" w:ascii="仿宋" w:hAnsi="仿宋" w:eastAsia="仿宋" w:cs="仿宋"/>
          <w:b/>
          <w:bCs/>
          <w:color w:val="auto"/>
          <w:szCs w:val="32"/>
          <w:highlight w:val="none"/>
          <w:lang w:val="en-US" w:eastAsia="zh-CN"/>
        </w:rPr>
      </w:pPr>
      <w:bookmarkStart w:id="65" w:name="_Toc107585635"/>
      <w:bookmarkStart w:id="66" w:name="_Toc19970"/>
      <w:r>
        <w:rPr>
          <w:rFonts w:hint="eastAsia" w:ascii="仿宋" w:hAnsi="仿宋" w:eastAsia="仿宋" w:cs="仿宋"/>
          <w:b/>
          <w:bCs/>
          <w:color w:val="auto"/>
          <w:szCs w:val="32"/>
          <w:highlight w:val="none"/>
          <w:lang w:val="en-US" w:eastAsia="zh-CN"/>
        </w:rPr>
        <w:t>5.1.1平面设计</w:t>
      </w:r>
      <w:bookmarkEnd w:id="65"/>
    </w:p>
    <w:p w14:paraId="00D3A2A4">
      <w:pPr>
        <w:pageBreakBefore w:val="0"/>
        <w:widowControl w:val="0"/>
        <w:kinsoku/>
        <w:wordWrap/>
        <w:overflowPunct/>
        <w:topLinePunct w:val="0"/>
        <w:autoSpaceDE/>
        <w:autoSpaceDN/>
        <w:bidi w:val="0"/>
        <w:adjustRightInd/>
        <w:snapToGrid/>
        <w:ind w:firstLine="480" w:firstLineChars="200"/>
        <w:jc w:val="left"/>
        <w:textAlignment w:val="auto"/>
        <w:rPr>
          <w:rFonts w:hint="eastAsia" w:ascii="仿宋" w:hAnsi="仿宋" w:eastAsia="仿宋" w:cs="仿宋"/>
          <w:b w:val="0"/>
          <w:bCs w:val="0"/>
          <w:color w:val="auto"/>
          <w:highlight w:val="none"/>
          <w:lang w:val="en-US" w:eastAsia="zh-CN"/>
        </w:rPr>
      </w:pPr>
      <w:r>
        <w:rPr>
          <w:rFonts w:hint="eastAsia" w:ascii="仿宋" w:hAnsi="仿宋" w:eastAsia="仿宋" w:cs="仿宋"/>
          <w:b w:val="0"/>
          <w:bCs w:val="0"/>
          <w:color w:val="auto"/>
          <w:highlight w:val="none"/>
          <w:lang w:val="en-US" w:eastAsia="zh-CN"/>
        </w:rPr>
        <w:t>本项目仅对车行道</w:t>
      </w:r>
      <w:r>
        <w:rPr>
          <w:rFonts w:hint="eastAsia" w:ascii="仿宋" w:hAnsi="仿宋" w:eastAsia="仿宋" w:cs="仿宋"/>
          <w:b w:val="0"/>
          <w:bCs w:val="0"/>
          <w:color w:val="auto"/>
          <w:szCs w:val="32"/>
          <w:highlight w:val="none"/>
          <w:lang w:val="en-US" w:eastAsia="zh-CN"/>
        </w:rPr>
        <w:t>Ⅱ、Ш类</w:t>
      </w:r>
      <w:r>
        <w:rPr>
          <w:rFonts w:hint="eastAsia" w:ascii="仿宋" w:hAnsi="仿宋" w:eastAsia="仿宋" w:cs="仿宋"/>
          <w:b w:val="0"/>
          <w:bCs w:val="0"/>
          <w:color w:val="auto"/>
          <w:highlight w:val="none"/>
          <w:lang w:val="en-US" w:eastAsia="zh-CN"/>
        </w:rPr>
        <w:t>病害进行修复提升，平面线形维持现状不变，具体详见平面布置图。</w:t>
      </w:r>
    </w:p>
    <w:p w14:paraId="138BE044">
      <w:pPr>
        <w:keepNext/>
        <w:keepLines/>
        <w:pageBreakBefore w:val="0"/>
        <w:widowControl w:val="0"/>
        <w:numPr>
          <w:ilvl w:val="0"/>
          <w:numId w:val="0"/>
        </w:numPr>
        <w:kinsoku/>
        <w:wordWrap/>
        <w:overflowPunct/>
        <w:topLinePunct w:val="0"/>
        <w:autoSpaceDE/>
        <w:autoSpaceDN/>
        <w:bidi w:val="0"/>
        <w:adjustRightInd/>
        <w:snapToGrid/>
        <w:jc w:val="left"/>
        <w:textAlignment w:val="auto"/>
        <w:outlineLvl w:val="2"/>
        <w:rPr>
          <w:rFonts w:hint="eastAsia" w:ascii="仿宋" w:hAnsi="仿宋" w:eastAsia="仿宋" w:cs="仿宋"/>
          <w:b/>
          <w:bCs/>
          <w:color w:val="auto"/>
          <w:szCs w:val="32"/>
          <w:highlight w:val="none"/>
          <w:lang w:val="en-US" w:eastAsia="zh-CN"/>
        </w:rPr>
      </w:pPr>
      <w:bookmarkStart w:id="67" w:name="_Toc107585636"/>
      <w:r>
        <w:rPr>
          <w:rFonts w:hint="eastAsia" w:ascii="仿宋" w:hAnsi="仿宋" w:eastAsia="仿宋" w:cs="仿宋"/>
          <w:b/>
          <w:bCs/>
          <w:color w:val="auto"/>
          <w:szCs w:val="32"/>
          <w:highlight w:val="none"/>
          <w:lang w:val="en-US" w:eastAsia="zh-CN"/>
        </w:rPr>
        <w:t>5.1.2纵断面设计</w:t>
      </w:r>
      <w:bookmarkEnd w:id="67"/>
    </w:p>
    <w:p w14:paraId="024920C5">
      <w:pPr>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仿宋" w:hAnsi="仿宋" w:eastAsia="仿宋" w:cs="仿宋"/>
          <w:b w:val="0"/>
          <w:bCs w:val="0"/>
          <w:color w:val="auto"/>
          <w:sz w:val="24"/>
          <w:szCs w:val="24"/>
          <w:highlight w:val="none"/>
          <w:lang w:val="en-US" w:eastAsia="zh-CN"/>
        </w:rPr>
      </w:pPr>
      <w:r>
        <w:rPr>
          <w:rFonts w:hint="eastAsia" w:ascii="仿宋" w:hAnsi="仿宋" w:eastAsia="仿宋" w:cs="仿宋"/>
          <w:b w:val="0"/>
          <w:bCs w:val="0"/>
          <w:color w:val="auto"/>
          <w:sz w:val="24"/>
          <w:szCs w:val="24"/>
          <w:highlight w:val="none"/>
          <w:lang w:val="en-US" w:eastAsia="zh-CN"/>
        </w:rPr>
        <w:t>本次不改变原有道路的纵坡及标高。Ⅱ类病害修复开挖后，采用级配碎石垫层进行填平后、加铺C20混凝土底基层、C30混凝土混凝土基层加铺沥青面层，最终沥青面层标高以道路整体平整度控制；Ш类病害修复开挖后，加铺C30混凝土混凝土基层及沥青面层，最终沥青面层标高以道路整体平整度控制。</w:t>
      </w:r>
    </w:p>
    <w:p w14:paraId="3321AD36">
      <w:pPr>
        <w:keepNext/>
        <w:keepLines/>
        <w:pageBreakBefore w:val="0"/>
        <w:widowControl w:val="0"/>
        <w:numPr>
          <w:ilvl w:val="0"/>
          <w:numId w:val="0"/>
        </w:numPr>
        <w:kinsoku/>
        <w:wordWrap/>
        <w:overflowPunct/>
        <w:topLinePunct w:val="0"/>
        <w:autoSpaceDE/>
        <w:autoSpaceDN/>
        <w:bidi w:val="0"/>
        <w:adjustRightInd/>
        <w:snapToGrid/>
        <w:jc w:val="left"/>
        <w:textAlignment w:val="auto"/>
        <w:outlineLvl w:val="2"/>
        <w:rPr>
          <w:rFonts w:hint="eastAsia" w:ascii="仿宋" w:hAnsi="仿宋" w:eastAsia="仿宋" w:cs="仿宋"/>
          <w:b/>
          <w:bCs/>
          <w:color w:val="auto"/>
          <w:szCs w:val="32"/>
          <w:highlight w:val="none"/>
          <w:lang w:val="en-US" w:eastAsia="zh-CN"/>
        </w:rPr>
      </w:pPr>
      <w:bookmarkStart w:id="68" w:name="_Toc107585637"/>
      <w:r>
        <w:rPr>
          <w:rFonts w:hint="eastAsia" w:ascii="仿宋" w:hAnsi="仿宋" w:eastAsia="仿宋" w:cs="仿宋"/>
          <w:b/>
          <w:bCs/>
          <w:color w:val="auto"/>
          <w:szCs w:val="32"/>
          <w:highlight w:val="none"/>
          <w:lang w:val="en-US" w:eastAsia="zh-CN"/>
        </w:rPr>
        <w:t>5.1.3横断面设计</w:t>
      </w:r>
      <w:bookmarkEnd w:id="68"/>
    </w:p>
    <w:p w14:paraId="0947A4DA">
      <w:pPr>
        <w:pageBreakBefore w:val="0"/>
        <w:widowControl w:val="0"/>
        <w:kinsoku/>
        <w:wordWrap/>
        <w:overflowPunct/>
        <w:topLinePunct w:val="0"/>
        <w:autoSpaceDE/>
        <w:autoSpaceDN/>
        <w:bidi w:val="0"/>
        <w:adjustRightInd/>
        <w:snapToGrid/>
        <w:ind w:firstLine="480" w:firstLineChars="200"/>
        <w:jc w:val="left"/>
        <w:textAlignment w:val="auto"/>
        <w:rPr>
          <w:rFonts w:hint="eastAsia" w:ascii="仿宋" w:hAnsi="仿宋" w:eastAsia="仿宋" w:cs="仿宋"/>
          <w:b w:val="0"/>
          <w:bCs w:val="0"/>
          <w:color w:val="auto"/>
          <w:sz w:val="24"/>
          <w:szCs w:val="24"/>
          <w:highlight w:val="none"/>
          <w:lang w:val="en-US" w:eastAsia="zh-CN"/>
        </w:rPr>
      </w:pPr>
      <w:r>
        <w:rPr>
          <w:rFonts w:hint="eastAsia" w:ascii="仿宋" w:hAnsi="仿宋" w:eastAsia="仿宋" w:cs="仿宋"/>
          <w:b w:val="0"/>
          <w:bCs w:val="0"/>
          <w:color w:val="auto"/>
          <w:sz w:val="24"/>
          <w:szCs w:val="24"/>
          <w:highlight w:val="none"/>
          <w:lang w:val="en-US" w:eastAsia="zh-CN"/>
        </w:rPr>
        <w:t>路幅宽度、横坡和原道路一致，不做调整。</w:t>
      </w:r>
      <w:r>
        <w:rPr>
          <w:rFonts w:hint="eastAsia" w:ascii="仿宋" w:hAnsi="仿宋" w:eastAsia="仿宋" w:cs="仿宋"/>
          <w:b w:val="0"/>
          <w:bCs w:val="0"/>
          <w:color w:val="auto"/>
          <w:highlight w:val="none"/>
          <w:lang w:val="en-US" w:eastAsia="zh-CN"/>
        </w:rPr>
        <w:t>具体详见平面布置图</w:t>
      </w:r>
      <w:r>
        <w:rPr>
          <w:rFonts w:hint="eastAsia" w:ascii="仿宋" w:hAnsi="仿宋" w:eastAsia="仿宋" w:cs="仿宋"/>
          <w:b w:val="0"/>
          <w:bCs w:val="0"/>
          <w:color w:val="auto"/>
          <w:sz w:val="24"/>
          <w:szCs w:val="24"/>
          <w:highlight w:val="none"/>
          <w:lang w:val="en-US" w:eastAsia="zh-CN"/>
        </w:rPr>
        <w:t>。</w:t>
      </w:r>
    </w:p>
    <w:p w14:paraId="7BC47D86">
      <w:pPr>
        <w:keepNext/>
        <w:keepLines/>
        <w:pageBreakBefore w:val="0"/>
        <w:widowControl w:val="0"/>
        <w:numPr>
          <w:ilvl w:val="0"/>
          <w:numId w:val="0"/>
        </w:numPr>
        <w:kinsoku/>
        <w:wordWrap/>
        <w:overflowPunct/>
        <w:topLinePunct w:val="0"/>
        <w:autoSpaceDE/>
        <w:autoSpaceDN/>
        <w:bidi w:val="0"/>
        <w:adjustRightInd/>
        <w:snapToGrid/>
        <w:jc w:val="left"/>
        <w:textAlignment w:val="auto"/>
        <w:outlineLvl w:val="2"/>
        <w:rPr>
          <w:rFonts w:hint="eastAsia" w:ascii="仿宋" w:hAnsi="仿宋" w:eastAsia="仿宋" w:cs="仿宋"/>
          <w:b/>
          <w:bCs/>
          <w:color w:val="auto"/>
          <w:szCs w:val="32"/>
          <w:highlight w:val="none"/>
          <w:lang w:val="en-US" w:eastAsia="zh-CN"/>
        </w:rPr>
      </w:pPr>
      <w:r>
        <w:rPr>
          <w:rFonts w:hint="eastAsia" w:ascii="仿宋" w:hAnsi="仿宋" w:eastAsia="仿宋" w:cs="仿宋"/>
          <w:b/>
          <w:bCs/>
          <w:color w:val="auto"/>
          <w:szCs w:val="32"/>
          <w:highlight w:val="none"/>
          <w:lang w:val="en-US" w:eastAsia="zh-CN"/>
        </w:rPr>
        <w:t>5.1.4路面病害处置</w:t>
      </w:r>
      <w:bookmarkEnd w:id="66"/>
    </w:p>
    <w:p w14:paraId="462E6A53">
      <w:pPr>
        <w:keepNext/>
        <w:keepLines/>
        <w:pageBreakBefore w:val="0"/>
        <w:widowControl w:val="0"/>
        <w:numPr>
          <w:ilvl w:val="0"/>
          <w:numId w:val="0"/>
        </w:numPr>
        <w:kinsoku/>
        <w:wordWrap/>
        <w:overflowPunct/>
        <w:topLinePunct w:val="0"/>
        <w:autoSpaceDE/>
        <w:autoSpaceDN/>
        <w:bidi w:val="0"/>
        <w:adjustRightInd/>
        <w:snapToGrid/>
        <w:ind w:leftChars="0" w:firstLine="480" w:firstLineChars="200"/>
        <w:jc w:val="left"/>
        <w:textAlignment w:val="auto"/>
        <w:outlineLvl w:val="2"/>
        <w:rPr>
          <w:rFonts w:hint="eastAsia" w:ascii="仿宋" w:hAnsi="仿宋" w:eastAsia="仿宋" w:cs="仿宋"/>
          <w:b w:val="0"/>
          <w:bCs w:val="0"/>
          <w:color w:val="auto"/>
          <w:szCs w:val="32"/>
          <w:highlight w:val="none"/>
          <w:lang w:val="en-US" w:eastAsia="zh-CN"/>
        </w:rPr>
      </w:pPr>
      <w:r>
        <w:rPr>
          <w:rFonts w:hint="eastAsia" w:ascii="仿宋" w:hAnsi="仿宋" w:eastAsia="仿宋" w:cs="仿宋"/>
          <w:b w:val="0"/>
          <w:bCs w:val="0"/>
          <w:color w:val="auto"/>
          <w:szCs w:val="32"/>
          <w:highlight w:val="none"/>
          <w:lang w:val="en-US" w:eastAsia="zh-CN"/>
        </w:rPr>
        <w:t>（1）车行道Ⅱ类病害修复</w:t>
      </w:r>
    </w:p>
    <w:p w14:paraId="4E61F035">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宋体" w:hAnsi="宋体" w:eastAsia="宋体" w:cs="宋体"/>
          <w:bCs/>
          <w:color w:val="auto"/>
          <w:sz w:val="28"/>
          <w:szCs w:val="28"/>
          <w:highlight w:val="none"/>
          <w:lang w:val="en-US" w:eastAsia="zh-CN"/>
        </w:rPr>
      </w:pPr>
      <w:r>
        <w:rPr>
          <w:rFonts w:hint="eastAsia" w:ascii="仿宋" w:hAnsi="仿宋" w:eastAsia="仿宋" w:cs="仿宋"/>
          <w:b w:val="0"/>
          <w:bCs w:val="0"/>
          <w:color w:val="auto"/>
          <w:sz w:val="24"/>
          <w:szCs w:val="24"/>
          <w:highlight w:val="none"/>
          <w:lang w:val="en-US" w:eastAsia="zh-CN"/>
        </w:rPr>
        <w:t>针对车行道路面碎裂、翻浆等路段，采用级配碎石垫层换填路基路床部分后，铺装车行道路面结构。采取以下做法修复：</w:t>
      </w:r>
    </w:p>
    <w:p w14:paraId="208B3696">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仿宋" w:hAnsi="仿宋" w:eastAsia="仿宋" w:cs="仿宋"/>
          <w:b w:val="0"/>
          <w:bCs w:val="0"/>
          <w:color w:val="auto"/>
          <w:sz w:val="24"/>
          <w:szCs w:val="24"/>
          <w:highlight w:val="none"/>
          <w:lang w:val="en-US" w:eastAsia="zh-CN"/>
        </w:rPr>
      </w:pPr>
      <w:r>
        <w:rPr>
          <w:rFonts w:hint="eastAsia" w:ascii="仿宋" w:hAnsi="仿宋" w:eastAsia="仿宋" w:cs="仿宋"/>
          <w:b w:val="0"/>
          <w:bCs w:val="0"/>
          <w:color w:val="auto"/>
          <w:sz w:val="24"/>
          <w:szCs w:val="24"/>
          <w:highlight w:val="none"/>
          <w:lang w:val="en-US" w:eastAsia="zh-CN"/>
        </w:rPr>
        <w:t>4cm厚沥青玛蹄脂碎石SMA-13上面层</w:t>
      </w:r>
    </w:p>
    <w:p w14:paraId="09B7F914">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仿宋" w:hAnsi="仿宋" w:eastAsia="仿宋" w:cs="仿宋"/>
          <w:b w:val="0"/>
          <w:bCs w:val="0"/>
          <w:color w:val="auto"/>
          <w:sz w:val="24"/>
          <w:szCs w:val="24"/>
          <w:highlight w:val="none"/>
          <w:lang w:val="en-US" w:eastAsia="zh-CN"/>
        </w:rPr>
      </w:pPr>
      <w:r>
        <w:rPr>
          <w:rFonts w:hint="eastAsia" w:ascii="仿宋" w:hAnsi="仿宋" w:eastAsia="仿宋" w:cs="仿宋"/>
          <w:b w:val="0"/>
          <w:bCs w:val="0"/>
          <w:color w:val="auto"/>
          <w:sz w:val="24"/>
          <w:szCs w:val="24"/>
          <w:highlight w:val="none"/>
          <w:lang w:val="en-US" w:eastAsia="zh-CN"/>
        </w:rPr>
        <w:t>6cm厚沥青混凝土AC-20C</w:t>
      </w:r>
    </w:p>
    <w:p w14:paraId="4F38A389">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仿宋" w:hAnsi="仿宋" w:eastAsia="仿宋" w:cs="仿宋"/>
          <w:b w:val="0"/>
          <w:bCs w:val="0"/>
          <w:color w:val="auto"/>
          <w:sz w:val="24"/>
          <w:szCs w:val="24"/>
          <w:highlight w:val="none"/>
          <w:lang w:val="en-US" w:eastAsia="zh-CN"/>
        </w:rPr>
      </w:pPr>
      <w:r>
        <w:rPr>
          <w:rFonts w:hint="eastAsia" w:ascii="仿宋" w:hAnsi="仿宋" w:eastAsia="仿宋" w:cs="仿宋"/>
          <w:b w:val="0"/>
          <w:bCs w:val="0"/>
          <w:color w:val="auto"/>
          <w:sz w:val="24"/>
          <w:szCs w:val="24"/>
          <w:highlight w:val="none"/>
          <w:lang w:val="en-US" w:eastAsia="zh-CN"/>
        </w:rPr>
        <w:t>8cm厚沥青混凝土AC-25C</w:t>
      </w:r>
    </w:p>
    <w:p w14:paraId="792C79A6">
      <w:pPr>
        <w:keepNext w:val="0"/>
        <w:keepLines w:val="0"/>
        <w:pageBreakBefore w:val="0"/>
        <w:widowControl w:val="0"/>
        <w:kinsoku/>
        <w:wordWrap/>
        <w:overflowPunct/>
        <w:topLinePunct w:val="0"/>
        <w:autoSpaceDE/>
        <w:autoSpaceDN/>
        <w:bidi w:val="0"/>
        <w:adjustRightInd/>
        <w:snapToGrid/>
        <w:jc w:val="left"/>
        <w:textAlignment w:val="auto"/>
        <w:outlineLvl w:val="9"/>
        <w:rPr>
          <w:rFonts w:hint="default" w:ascii="仿宋" w:hAnsi="仿宋" w:eastAsia="仿宋" w:cs="仿宋"/>
          <w:b w:val="0"/>
          <w:bCs w:val="0"/>
          <w:color w:val="auto"/>
          <w:sz w:val="24"/>
          <w:szCs w:val="24"/>
          <w:highlight w:val="none"/>
          <w:lang w:val="en-US" w:eastAsia="zh-CN"/>
        </w:rPr>
      </w:pPr>
      <w:r>
        <w:rPr>
          <w:rFonts w:hint="eastAsia" w:ascii="仿宋" w:hAnsi="仿宋" w:eastAsia="仿宋" w:cs="仿宋"/>
          <w:b w:val="0"/>
          <w:bCs w:val="0"/>
          <w:color w:val="auto"/>
          <w:sz w:val="24"/>
          <w:szCs w:val="24"/>
          <w:highlight w:val="none"/>
          <w:lang w:val="en-US" w:eastAsia="zh-CN"/>
        </w:rPr>
        <w:t>0.7cm改性乳化沥青稀浆封层</w:t>
      </w:r>
    </w:p>
    <w:p w14:paraId="6EDB21C2">
      <w:pPr>
        <w:pageBreakBefore w:val="0"/>
        <w:widowControl w:val="0"/>
        <w:kinsoku/>
        <w:wordWrap/>
        <w:overflowPunct/>
        <w:topLinePunct w:val="0"/>
        <w:autoSpaceDE/>
        <w:autoSpaceDN/>
        <w:bidi w:val="0"/>
        <w:adjustRightInd/>
        <w:snapToGrid/>
        <w:ind w:firstLine="480" w:firstLineChars="200"/>
        <w:jc w:val="left"/>
        <w:textAlignment w:val="auto"/>
        <w:rPr>
          <w:rFonts w:hint="eastAsia" w:ascii="仿宋" w:hAnsi="仿宋" w:eastAsia="仿宋" w:cs="仿宋"/>
          <w:b w:val="0"/>
          <w:bCs w:val="0"/>
          <w:color w:val="auto"/>
          <w:sz w:val="24"/>
          <w:szCs w:val="24"/>
          <w:highlight w:val="none"/>
          <w:lang w:val="en-US" w:eastAsia="zh-CN"/>
        </w:rPr>
      </w:pPr>
      <w:r>
        <w:rPr>
          <w:rFonts w:hint="eastAsia" w:ascii="仿宋" w:hAnsi="仿宋" w:eastAsia="仿宋" w:cs="仿宋"/>
          <w:b w:val="0"/>
          <w:bCs w:val="0"/>
          <w:color w:val="auto"/>
          <w:sz w:val="24"/>
          <w:szCs w:val="24"/>
          <w:highlight w:val="none"/>
          <w:lang w:val="en-US" w:eastAsia="zh-CN"/>
        </w:rPr>
        <w:t>20cm厚C30砼基层</w:t>
      </w:r>
    </w:p>
    <w:p w14:paraId="7B2CB4FB">
      <w:pPr>
        <w:pageBreakBefore w:val="0"/>
        <w:widowControl w:val="0"/>
        <w:kinsoku/>
        <w:wordWrap/>
        <w:overflowPunct/>
        <w:topLinePunct w:val="0"/>
        <w:autoSpaceDE/>
        <w:autoSpaceDN/>
        <w:bidi w:val="0"/>
        <w:adjustRightInd/>
        <w:snapToGrid/>
        <w:ind w:firstLine="480" w:firstLineChars="200"/>
        <w:jc w:val="left"/>
        <w:textAlignment w:val="auto"/>
        <w:rPr>
          <w:rFonts w:hint="eastAsia" w:ascii="仿宋" w:hAnsi="仿宋" w:eastAsia="仿宋" w:cs="仿宋"/>
          <w:b w:val="0"/>
          <w:bCs w:val="0"/>
          <w:color w:val="auto"/>
          <w:sz w:val="24"/>
          <w:szCs w:val="24"/>
          <w:highlight w:val="none"/>
          <w:lang w:val="en-US" w:eastAsia="zh-CN"/>
        </w:rPr>
      </w:pPr>
      <w:r>
        <w:rPr>
          <w:rFonts w:hint="eastAsia" w:ascii="仿宋" w:hAnsi="仿宋" w:eastAsia="仿宋" w:cs="仿宋"/>
          <w:b w:val="0"/>
          <w:bCs w:val="0"/>
          <w:color w:val="auto"/>
          <w:sz w:val="24"/>
          <w:szCs w:val="24"/>
          <w:highlight w:val="none"/>
          <w:lang w:val="en-US" w:eastAsia="zh-CN"/>
        </w:rPr>
        <w:t>20cm厚C20砼底基层</w:t>
      </w:r>
    </w:p>
    <w:p w14:paraId="7F51D654">
      <w:pPr>
        <w:pageBreakBefore w:val="0"/>
        <w:widowControl w:val="0"/>
        <w:kinsoku/>
        <w:wordWrap/>
        <w:overflowPunct/>
        <w:topLinePunct w:val="0"/>
        <w:autoSpaceDE/>
        <w:autoSpaceDN/>
        <w:bidi w:val="0"/>
        <w:adjustRightInd/>
        <w:snapToGrid/>
        <w:ind w:firstLine="480" w:firstLineChars="200"/>
        <w:jc w:val="left"/>
        <w:textAlignment w:val="auto"/>
        <w:rPr>
          <w:rFonts w:hint="default" w:ascii="仿宋" w:hAnsi="仿宋" w:eastAsia="仿宋" w:cs="仿宋"/>
          <w:b w:val="0"/>
          <w:bCs w:val="0"/>
          <w:color w:val="auto"/>
          <w:sz w:val="24"/>
          <w:szCs w:val="24"/>
          <w:highlight w:val="none"/>
          <w:lang w:val="en-US" w:eastAsia="zh-CN"/>
        </w:rPr>
      </w:pPr>
      <w:r>
        <w:rPr>
          <w:rFonts w:hint="eastAsia" w:ascii="仿宋" w:hAnsi="仿宋" w:eastAsia="仿宋" w:cs="仿宋"/>
          <w:b w:val="0"/>
          <w:bCs w:val="0"/>
          <w:color w:val="auto"/>
          <w:sz w:val="24"/>
          <w:szCs w:val="24"/>
          <w:highlight w:val="none"/>
          <w:lang w:val="en-US" w:eastAsia="zh-CN"/>
        </w:rPr>
        <w:t>20cm级配碎石</w:t>
      </w:r>
    </w:p>
    <w:p w14:paraId="7ABB1AAC">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仿宋" w:hAnsi="仿宋" w:eastAsia="仿宋" w:cs="仿宋"/>
          <w:b w:val="0"/>
          <w:bCs w:val="0"/>
          <w:color w:val="auto"/>
          <w:sz w:val="24"/>
          <w:szCs w:val="24"/>
          <w:highlight w:val="none"/>
          <w:lang w:val="en-US" w:eastAsia="zh-CN"/>
        </w:rPr>
      </w:pPr>
      <w:r>
        <w:rPr>
          <w:rFonts w:hint="eastAsia" w:ascii="仿宋" w:hAnsi="仿宋" w:eastAsia="仿宋" w:cs="仿宋"/>
          <w:b w:val="0"/>
          <w:bCs w:val="0"/>
          <w:color w:val="auto"/>
          <w:sz w:val="24"/>
          <w:szCs w:val="24"/>
          <w:highlight w:val="none"/>
          <w:lang w:val="en-US" w:eastAsia="zh-CN"/>
        </w:rPr>
        <w:t>原道路土路基压实</w:t>
      </w:r>
    </w:p>
    <w:p w14:paraId="6A25E0F6">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仿宋" w:hAnsi="仿宋" w:eastAsia="仿宋" w:cs="仿宋"/>
          <w:b w:val="0"/>
          <w:bCs w:val="0"/>
          <w:color w:val="auto"/>
          <w:sz w:val="24"/>
          <w:szCs w:val="24"/>
          <w:highlight w:val="none"/>
          <w:lang w:val="en-US" w:eastAsia="zh-CN"/>
        </w:rPr>
      </w:pPr>
      <w:r>
        <w:rPr>
          <w:rFonts w:hint="eastAsia" w:ascii="仿宋" w:hAnsi="仿宋" w:eastAsia="仿宋" w:cs="仿宋"/>
          <w:b w:val="0"/>
          <w:bCs w:val="0"/>
          <w:color w:val="auto"/>
          <w:sz w:val="24"/>
          <w:szCs w:val="24"/>
          <w:highlight w:val="none"/>
          <w:lang w:val="en-US" w:eastAsia="zh-CN"/>
        </w:rPr>
        <w:t>沥青与沥青层之间设置乳化沥青粘层0.4-0.6kg/m</w:t>
      </w:r>
      <w:r>
        <w:rPr>
          <w:rFonts w:hint="eastAsia" w:ascii="仿宋" w:hAnsi="仿宋" w:eastAsia="仿宋" w:cs="仿宋"/>
          <w:b w:val="0"/>
          <w:bCs w:val="0"/>
          <w:color w:val="auto"/>
          <w:sz w:val="24"/>
          <w:szCs w:val="24"/>
          <w:highlight w:val="none"/>
          <w:vertAlign w:val="superscript"/>
          <w:lang w:val="en-US" w:eastAsia="zh-CN"/>
        </w:rPr>
        <w:t>2</w:t>
      </w:r>
      <w:r>
        <w:rPr>
          <w:rFonts w:hint="eastAsia" w:ascii="仿宋" w:hAnsi="仿宋" w:eastAsia="仿宋" w:cs="仿宋"/>
          <w:b w:val="0"/>
          <w:bCs w:val="0"/>
          <w:color w:val="auto"/>
          <w:sz w:val="24"/>
          <w:szCs w:val="24"/>
          <w:highlight w:val="none"/>
          <w:lang w:val="en-US" w:eastAsia="zh-CN"/>
        </w:rPr>
        <w:t>。</w:t>
      </w:r>
    </w:p>
    <w:p w14:paraId="697F173C">
      <w:pPr>
        <w:keepNext/>
        <w:keepLines/>
        <w:pageBreakBefore w:val="0"/>
        <w:widowControl w:val="0"/>
        <w:numPr>
          <w:ilvl w:val="0"/>
          <w:numId w:val="0"/>
        </w:numPr>
        <w:kinsoku/>
        <w:wordWrap/>
        <w:overflowPunct/>
        <w:topLinePunct w:val="0"/>
        <w:autoSpaceDE/>
        <w:autoSpaceDN/>
        <w:bidi w:val="0"/>
        <w:adjustRightInd/>
        <w:snapToGrid/>
        <w:ind w:leftChars="0" w:firstLine="480" w:firstLineChars="200"/>
        <w:jc w:val="left"/>
        <w:textAlignment w:val="auto"/>
        <w:outlineLvl w:val="2"/>
        <w:rPr>
          <w:rFonts w:hint="eastAsia" w:ascii="仿宋" w:hAnsi="仿宋" w:eastAsia="仿宋" w:cs="仿宋"/>
          <w:b w:val="0"/>
          <w:bCs w:val="0"/>
          <w:color w:val="auto"/>
          <w:szCs w:val="32"/>
          <w:highlight w:val="none"/>
          <w:lang w:val="en-US" w:eastAsia="zh-CN"/>
        </w:rPr>
      </w:pPr>
      <w:r>
        <w:rPr>
          <w:rFonts w:hint="eastAsia" w:ascii="仿宋" w:hAnsi="仿宋" w:eastAsia="仿宋" w:cs="仿宋"/>
          <w:b w:val="0"/>
          <w:bCs w:val="0"/>
          <w:color w:val="auto"/>
          <w:szCs w:val="32"/>
          <w:highlight w:val="none"/>
          <w:lang w:val="en-US" w:eastAsia="zh-CN"/>
        </w:rPr>
        <w:t>（2）车行道Ш类病害修复</w:t>
      </w:r>
    </w:p>
    <w:p w14:paraId="686E6B4C">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宋体" w:hAnsi="宋体" w:eastAsia="宋体" w:cs="宋体"/>
          <w:bCs/>
          <w:color w:val="auto"/>
          <w:sz w:val="28"/>
          <w:szCs w:val="28"/>
          <w:highlight w:val="none"/>
          <w:lang w:val="en-US" w:eastAsia="zh-CN"/>
        </w:rPr>
      </w:pPr>
      <w:r>
        <w:rPr>
          <w:rFonts w:hint="eastAsia" w:ascii="仿宋" w:hAnsi="仿宋" w:eastAsia="仿宋" w:cs="仿宋"/>
          <w:b w:val="0"/>
          <w:bCs w:val="0"/>
          <w:color w:val="auto"/>
          <w:sz w:val="24"/>
          <w:szCs w:val="24"/>
          <w:highlight w:val="none"/>
          <w:lang w:val="en-US" w:eastAsia="zh-CN"/>
        </w:rPr>
        <w:t>针对车行道路面龟裂、车辙病害、砼破损路段，采取以下做法修复：</w:t>
      </w:r>
    </w:p>
    <w:p w14:paraId="5173E1BC">
      <w:pPr>
        <w:pageBreakBefore w:val="0"/>
        <w:widowControl w:val="0"/>
        <w:kinsoku/>
        <w:wordWrap/>
        <w:overflowPunct/>
        <w:topLinePunct w:val="0"/>
        <w:autoSpaceDE/>
        <w:autoSpaceDN/>
        <w:bidi w:val="0"/>
        <w:adjustRightInd/>
        <w:snapToGrid/>
        <w:ind w:firstLine="480" w:firstLineChars="200"/>
        <w:jc w:val="left"/>
        <w:textAlignment w:val="auto"/>
        <w:rPr>
          <w:rFonts w:hint="eastAsia" w:ascii="仿宋" w:hAnsi="仿宋" w:eastAsia="仿宋" w:cs="仿宋"/>
          <w:b w:val="0"/>
          <w:bCs w:val="0"/>
          <w:color w:val="auto"/>
          <w:sz w:val="24"/>
          <w:szCs w:val="24"/>
          <w:highlight w:val="none"/>
          <w:lang w:val="en-US" w:eastAsia="zh-CN"/>
        </w:rPr>
      </w:pPr>
      <w:r>
        <w:rPr>
          <w:rFonts w:hint="eastAsia" w:ascii="仿宋" w:hAnsi="仿宋" w:eastAsia="仿宋" w:cs="仿宋"/>
          <w:b w:val="0"/>
          <w:bCs w:val="0"/>
          <w:color w:val="auto"/>
          <w:sz w:val="24"/>
          <w:szCs w:val="24"/>
          <w:highlight w:val="none"/>
          <w:lang w:val="en-US" w:eastAsia="zh-CN"/>
        </w:rPr>
        <w:t>4cm厚沥青玛蹄脂碎石SMA-13上面层</w:t>
      </w:r>
    </w:p>
    <w:p w14:paraId="63D71DF0">
      <w:pPr>
        <w:pageBreakBefore w:val="0"/>
        <w:widowControl w:val="0"/>
        <w:kinsoku/>
        <w:wordWrap/>
        <w:overflowPunct/>
        <w:topLinePunct w:val="0"/>
        <w:autoSpaceDE/>
        <w:autoSpaceDN/>
        <w:bidi w:val="0"/>
        <w:adjustRightInd/>
        <w:snapToGrid/>
        <w:ind w:firstLine="480" w:firstLineChars="200"/>
        <w:jc w:val="left"/>
        <w:textAlignment w:val="auto"/>
        <w:rPr>
          <w:rFonts w:hint="eastAsia" w:ascii="仿宋" w:hAnsi="仿宋" w:eastAsia="仿宋" w:cs="仿宋"/>
          <w:b w:val="0"/>
          <w:bCs w:val="0"/>
          <w:color w:val="auto"/>
          <w:sz w:val="24"/>
          <w:szCs w:val="24"/>
          <w:highlight w:val="none"/>
          <w:lang w:val="en-US" w:eastAsia="zh-CN"/>
        </w:rPr>
      </w:pPr>
      <w:r>
        <w:rPr>
          <w:rFonts w:hint="eastAsia" w:ascii="仿宋" w:hAnsi="仿宋" w:eastAsia="仿宋" w:cs="仿宋"/>
          <w:b w:val="0"/>
          <w:bCs w:val="0"/>
          <w:color w:val="auto"/>
          <w:sz w:val="24"/>
          <w:szCs w:val="24"/>
          <w:highlight w:val="none"/>
          <w:lang w:val="en-US" w:eastAsia="zh-CN"/>
        </w:rPr>
        <w:t>6cm厚沥青混凝土AC-20C</w:t>
      </w:r>
    </w:p>
    <w:p w14:paraId="63097FB0">
      <w:pPr>
        <w:pageBreakBefore w:val="0"/>
        <w:widowControl w:val="0"/>
        <w:kinsoku/>
        <w:wordWrap/>
        <w:overflowPunct/>
        <w:topLinePunct w:val="0"/>
        <w:autoSpaceDE/>
        <w:autoSpaceDN/>
        <w:bidi w:val="0"/>
        <w:adjustRightInd/>
        <w:snapToGrid/>
        <w:ind w:firstLine="480" w:firstLineChars="200"/>
        <w:jc w:val="left"/>
        <w:textAlignment w:val="auto"/>
        <w:rPr>
          <w:rFonts w:hint="eastAsia" w:ascii="仿宋" w:hAnsi="仿宋" w:eastAsia="仿宋" w:cs="仿宋"/>
          <w:b w:val="0"/>
          <w:bCs w:val="0"/>
          <w:color w:val="auto"/>
          <w:sz w:val="24"/>
          <w:szCs w:val="24"/>
          <w:highlight w:val="none"/>
          <w:lang w:val="en-US" w:eastAsia="zh-CN"/>
        </w:rPr>
      </w:pPr>
      <w:r>
        <w:rPr>
          <w:rFonts w:hint="eastAsia" w:ascii="仿宋" w:hAnsi="仿宋" w:eastAsia="仿宋" w:cs="仿宋"/>
          <w:b w:val="0"/>
          <w:bCs w:val="0"/>
          <w:color w:val="auto"/>
          <w:sz w:val="24"/>
          <w:szCs w:val="24"/>
          <w:highlight w:val="none"/>
          <w:lang w:val="en-US" w:eastAsia="zh-CN"/>
        </w:rPr>
        <w:t>8cm厚沥青混凝土AC-25C</w:t>
      </w:r>
    </w:p>
    <w:p w14:paraId="1E17CF94">
      <w:pPr>
        <w:pageBreakBefore w:val="0"/>
        <w:widowControl w:val="0"/>
        <w:kinsoku/>
        <w:wordWrap/>
        <w:overflowPunct/>
        <w:topLinePunct w:val="0"/>
        <w:autoSpaceDE/>
        <w:autoSpaceDN/>
        <w:bidi w:val="0"/>
        <w:adjustRightInd/>
        <w:snapToGrid/>
        <w:ind w:firstLine="480" w:firstLineChars="200"/>
        <w:jc w:val="left"/>
        <w:textAlignment w:val="auto"/>
        <w:rPr>
          <w:rFonts w:hint="default" w:ascii="仿宋" w:hAnsi="仿宋" w:eastAsia="仿宋" w:cs="仿宋"/>
          <w:b w:val="0"/>
          <w:bCs w:val="0"/>
          <w:color w:val="auto"/>
          <w:sz w:val="24"/>
          <w:szCs w:val="24"/>
          <w:highlight w:val="none"/>
          <w:lang w:val="en-US" w:eastAsia="zh-CN"/>
        </w:rPr>
      </w:pPr>
      <w:r>
        <w:rPr>
          <w:rFonts w:hint="eastAsia" w:ascii="仿宋" w:hAnsi="仿宋" w:eastAsia="仿宋" w:cs="仿宋"/>
          <w:b w:val="0"/>
          <w:bCs w:val="0"/>
          <w:color w:val="auto"/>
          <w:sz w:val="24"/>
          <w:szCs w:val="24"/>
          <w:highlight w:val="none"/>
          <w:lang w:val="en-US" w:eastAsia="zh-CN"/>
        </w:rPr>
        <w:t>0.7cm改性乳化沥青稀浆封层</w:t>
      </w:r>
    </w:p>
    <w:p w14:paraId="48814AC6">
      <w:pPr>
        <w:pageBreakBefore w:val="0"/>
        <w:widowControl w:val="0"/>
        <w:kinsoku/>
        <w:wordWrap/>
        <w:overflowPunct/>
        <w:topLinePunct w:val="0"/>
        <w:autoSpaceDE/>
        <w:autoSpaceDN/>
        <w:bidi w:val="0"/>
        <w:adjustRightInd/>
        <w:snapToGrid/>
        <w:ind w:firstLine="480" w:firstLineChars="200"/>
        <w:jc w:val="left"/>
        <w:textAlignment w:val="auto"/>
        <w:rPr>
          <w:rFonts w:hint="eastAsia" w:ascii="仿宋" w:hAnsi="仿宋" w:eastAsia="仿宋" w:cs="仿宋"/>
          <w:b w:val="0"/>
          <w:bCs w:val="0"/>
          <w:color w:val="auto"/>
          <w:sz w:val="24"/>
          <w:szCs w:val="24"/>
          <w:highlight w:val="none"/>
          <w:lang w:val="en-US" w:eastAsia="zh-CN"/>
        </w:rPr>
      </w:pPr>
      <w:r>
        <w:rPr>
          <w:rFonts w:hint="eastAsia" w:ascii="仿宋" w:hAnsi="仿宋" w:eastAsia="仿宋" w:cs="仿宋"/>
          <w:b w:val="0"/>
          <w:bCs w:val="0"/>
          <w:color w:val="auto"/>
          <w:sz w:val="24"/>
          <w:szCs w:val="24"/>
          <w:highlight w:val="none"/>
          <w:lang w:val="en-US" w:eastAsia="zh-CN"/>
        </w:rPr>
        <w:t>20cm厚C30砼基层</w:t>
      </w:r>
    </w:p>
    <w:p w14:paraId="1369FD05">
      <w:pPr>
        <w:pageBreakBefore w:val="0"/>
        <w:widowControl w:val="0"/>
        <w:kinsoku/>
        <w:wordWrap/>
        <w:overflowPunct/>
        <w:topLinePunct w:val="0"/>
        <w:autoSpaceDE/>
        <w:autoSpaceDN/>
        <w:bidi w:val="0"/>
        <w:adjustRightInd/>
        <w:snapToGrid/>
        <w:ind w:firstLine="480" w:firstLineChars="200"/>
        <w:jc w:val="left"/>
        <w:textAlignment w:val="auto"/>
        <w:rPr>
          <w:rFonts w:hint="eastAsia" w:ascii="仿宋" w:hAnsi="仿宋" w:eastAsia="仿宋" w:cs="仿宋"/>
          <w:b w:val="0"/>
          <w:bCs w:val="0"/>
          <w:color w:val="auto"/>
          <w:sz w:val="24"/>
          <w:szCs w:val="24"/>
          <w:highlight w:val="none"/>
          <w:lang w:val="en-US" w:eastAsia="zh-CN"/>
        </w:rPr>
      </w:pPr>
      <w:r>
        <w:rPr>
          <w:rFonts w:hint="eastAsia" w:ascii="仿宋" w:hAnsi="仿宋" w:eastAsia="仿宋" w:cs="仿宋"/>
          <w:b w:val="0"/>
          <w:bCs w:val="0"/>
          <w:color w:val="auto"/>
          <w:sz w:val="24"/>
          <w:szCs w:val="24"/>
          <w:highlight w:val="none"/>
          <w:lang w:val="en-US" w:eastAsia="zh-CN"/>
        </w:rPr>
        <w:t>原道路底基层</w:t>
      </w:r>
    </w:p>
    <w:p w14:paraId="2FBC55C3">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仿宋" w:hAnsi="仿宋" w:eastAsia="仿宋" w:cs="仿宋"/>
          <w:b w:val="0"/>
          <w:bCs w:val="0"/>
          <w:color w:val="auto"/>
          <w:sz w:val="24"/>
          <w:szCs w:val="24"/>
          <w:highlight w:val="none"/>
          <w:lang w:val="en-US" w:eastAsia="zh-CN"/>
        </w:rPr>
      </w:pPr>
      <w:r>
        <w:rPr>
          <w:rFonts w:hint="eastAsia" w:ascii="仿宋" w:hAnsi="仿宋" w:eastAsia="仿宋" w:cs="仿宋"/>
          <w:b w:val="0"/>
          <w:bCs w:val="0"/>
          <w:color w:val="auto"/>
          <w:sz w:val="24"/>
          <w:szCs w:val="24"/>
          <w:highlight w:val="none"/>
          <w:lang w:val="en-US" w:eastAsia="zh-CN"/>
        </w:rPr>
        <w:t>原道路土路基</w:t>
      </w:r>
    </w:p>
    <w:p w14:paraId="2399EA4A">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仿宋" w:hAnsi="仿宋" w:eastAsia="仿宋" w:cs="仿宋"/>
          <w:b w:val="0"/>
          <w:bCs w:val="0"/>
          <w:color w:val="auto"/>
          <w:sz w:val="24"/>
          <w:szCs w:val="24"/>
          <w:highlight w:val="none"/>
          <w:lang w:val="en-US" w:eastAsia="zh-CN"/>
        </w:rPr>
      </w:pPr>
      <w:r>
        <w:rPr>
          <w:rFonts w:hint="eastAsia" w:ascii="仿宋" w:hAnsi="仿宋" w:eastAsia="仿宋" w:cs="仿宋"/>
          <w:b w:val="0"/>
          <w:bCs w:val="0"/>
          <w:color w:val="auto"/>
          <w:sz w:val="24"/>
          <w:szCs w:val="24"/>
          <w:highlight w:val="none"/>
          <w:lang w:val="en-US" w:eastAsia="zh-CN"/>
        </w:rPr>
        <w:t>沥青与沥青层之间设置乳化沥青粘层0.4-0.6kg/m</w:t>
      </w:r>
      <w:r>
        <w:rPr>
          <w:rFonts w:hint="eastAsia" w:ascii="仿宋" w:hAnsi="仿宋" w:eastAsia="仿宋" w:cs="仿宋"/>
          <w:b w:val="0"/>
          <w:bCs w:val="0"/>
          <w:color w:val="auto"/>
          <w:sz w:val="24"/>
          <w:szCs w:val="24"/>
          <w:highlight w:val="none"/>
          <w:vertAlign w:val="superscript"/>
          <w:lang w:val="en-US" w:eastAsia="zh-CN"/>
        </w:rPr>
        <w:t>2</w:t>
      </w:r>
      <w:r>
        <w:rPr>
          <w:rFonts w:hint="eastAsia" w:ascii="仿宋" w:hAnsi="仿宋" w:eastAsia="仿宋" w:cs="仿宋"/>
          <w:b w:val="0"/>
          <w:bCs w:val="0"/>
          <w:color w:val="auto"/>
          <w:sz w:val="24"/>
          <w:szCs w:val="24"/>
          <w:highlight w:val="none"/>
          <w:lang w:val="en-US" w:eastAsia="zh-CN"/>
        </w:rPr>
        <w:t>。</w:t>
      </w:r>
    </w:p>
    <w:p w14:paraId="7B1297E4">
      <w:pPr>
        <w:keepNext/>
        <w:keepLines/>
        <w:pageBreakBefore w:val="0"/>
        <w:widowControl w:val="0"/>
        <w:numPr>
          <w:ilvl w:val="0"/>
          <w:numId w:val="0"/>
        </w:numPr>
        <w:kinsoku/>
        <w:wordWrap/>
        <w:overflowPunct/>
        <w:topLinePunct w:val="0"/>
        <w:autoSpaceDE/>
        <w:autoSpaceDN/>
        <w:bidi w:val="0"/>
        <w:adjustRightInd/>
        <w:snapToGrid/>
        <w:jc w:val="left"/>
        <w:textAlignment w:val="auto"/>
        <w:outlineLvl w:val="2"/>
        <w:rPr>
          <w:rFonts w:hint="default" w:ascii="仿宋" w:hAnsi="仿宋" w:eastAsia="仿宋" w:cs="仿宋"/>
          <w:b/>
          <w:bCs/>
          <w:color w:val="auto"/>
          <w:szCs w:val="32"/>
          <w:highlight w:val="none"/>
          <w:lang w:val="en-US" w:eastAsia="zh-CN"/>
        </w:rPr>
      </w:pPr>
      <w:r>
        <w:rPr>
          <w:rFonts w:hint="eastAsia" w:ascii="仿宋" w:hAnsi="仿宋" w:eastAsia="仿宋" w:cs="仿宋"/>
          <w:b/>
          <w:bCs/>
          <w:color w:val="auto"/>
          <w:szCs w:val="32"/>
          <w:highlight w:val="none"/>
          <w:lang w:val="en-US" w:eastAsia="zh-CN"/>
        </w:rPr>
        <w:t>5.1.5车行道路面标线恢复</w:t>
      </w:r>
    </w:p>
    <w:p w14:paraId="76E2D44A">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本次标线按现有标线划分恢复，具体详见《车行道标线恢复平面图》，设置要求如下：</w:t>
      </w:r>
    </w:p>
    <w:p w14:paraId="3C6D3369">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（1）标线设置要求</w:t>
      </w:r>
    </w:p>
    <w:p w14:paraId="58DB1BB5">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在机动车道两侧路缘带内侧设置车道边缘线，车道边缘线采用线宽15cm的白色热熔型涂料面撒反光玻璃珠的标线；</w:t>
      </w:r>
    </w:p>
    <w:p w14:paraId="67D48439">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可跨越式车道分界线为线宽15cm的黄色热熔型涂料面撒反光玻璃珠的标线，线长4m，间距6m；</w:t>
      </w:r>
    </w:p>
    <w:p w14:paraId="351A3991">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车道分界线采用线宽15cm的白色热熔型涂料面撒反光玻璃珠的标线。设计时速大于30km/h的道路，车道分界线线长6m，间距9m；设计时速小于等于30km/h的道路，车道分界线线长2m，间距4m;</w:t>
      </w:r>
    </w:p>
    <w:p w14:paraId="24178909">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路侧支路进口道设置减速让行标线，虚线宽20cm，两条虚线间隔20cm。倒三角形底宽120cm，高300cm；</w:t>
      </w:r>
    </w:p>
    <w:p w14:paraId="3D98009C">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在导流岛右转专用道斑马线前设置停车让行标线，线宽20cm，间隔20cm。“停”字高250cm，字宽100cm；</w:t>
      </w:r>
    </w:p>
    <w:p w14:paraId="19ECB17E">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路口停止线与人行横道斑马线的距离为2m，停止线宽40cm；路口导向车道线长50m；在需要诱导车辆前的合适位置设置地面导向箭头，设计时速大于30km/h的道路，箭头长6m，导向箭头按导线长度重复设置2次；</w:t>
      </w:r>
    </w:p>
    <w:p w14:paraId="242F45D4">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路口人行横道线宽40cm，间距60cm，长4～8m，具体以平面布置图为准。人行横道线长度可以根据实际人流量以整米数加长；</w:t>
      </w:r>
    </w:p>
    <w:p w14:paraId="60C722B2">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公交停车港标线宽45cm，虚线部分采用1m划线1m空的1-1线；</w:t>
      </w:r>
    </w:p>
    <w:p w14:paraId="3AAFE477">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路侧开口采用2m划线2m空的白色虚线；</w:t>
      </w:r>
    </w:p>
    <w:p w14:paraId="07A4B0A6">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路口左转导流线为2m划线2m空的黄色虚线。</w:t>
      </w:r>
    </w:p>
    <w:p w14:paraId="4B0F1988">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（2）标线技术要求</w:t>
      </w:r>
    </w:p>
    <w:p w14:paraId="5A6B1C61">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所有标线及标记均采用热熔型反光涂料；</w:t>
      </w:r>
    </w:p>
    <w:p w14:paraId="79AB1399">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所有标线干燥后的厚度为2.00mm±10%，涂料中应混合占总量18%的玻璃微珠，在喷涂时，标线表面还应均撒0.3Kg/m</w:t>
      </w:r>
      <w:r>
        <w:rPr>
          <w:rFonts w:hint="eastAsia" w:ascii="仿宋" w:hAnsi="仿宋" w:eastAsia="仿宋" w:cs="仿宋"/>
          <w:color w:val="auto"/>
          <w:highlight w:val="none"/>
          <w:vertAlign w:val="superscript"/>
          <w:lang w:val="en-US" w:eastAsia="zh-CN"/>
        </w:rPr>
        <w:t>2</w:t>
      </w:r>
      <w:r>
        <w:rPr>
          <w:rFonts w:hint="eastAsia" w:ascii="仿宋" w:hAnsi="仿宋" w:eastAsia="仿宋" w:cs="仿宋"/>
          <w:color w:val="auto"/>
          <w:highlight w:val="none"/>
          <w:lang w:val="en-US" w:eastAsia="zh-CN"/>
        </w:rPr>
        <w:t>的玻璃微珠；</w:t>
      </w:r>
    </w:p>
    <w:p w14:paraId="67E423E4">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车道边缘线不应侵占行车道宽度；</w:t>
      </w:r>
    </w:p>
    <w:p w14:paraId="54E7883D">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导向箭头须根据路网建设现状进行调整，禁止指向未通车的方向，相交道路未通车的路口须按路段处理。</w:t>
      </w:r>
    </w:p>
    <w:p w14:paraId="4D7D5E8E">
      <w:pPr>
        <w:keepNext/>
        <w:keepLines/>
        <w:pageBreakBefore w:val="0"/>
        <w:widowControl w:val="0"/>
        <w:numPr>
          <w:ilvl w:val="0"/>
          <w:numId w:val="0"/>
        </w:numPr>
        <w:kinsoku/>
        <w:wordWrap/>
        <w:overflowPunct/>
        <w:topLinePunct w:val="0"/>
        <w:autoSpaceDE/>
        <w:autoSpaceDN/>
        <w:bidi w:val="0"/>
        <w:adjustRightInd/>
        <w:snapToGrid/>
        <w:jc w:val="left"/>
        <w:textAlignment w:val="auto"/>
        <w:outlineLvl w:val="2"/>
        <w:rPr>
          <w:rFonts w:hint="eastAsia" w:ascii="仿宋" w:hAnsi="仿宋" w:eastAsia="仿宋" w:cs="仿宋"/>
          <w:b/>
          <w:bCs/>
          <w:color w:val="auto"/>
          <w:szCs w:val="32"/>
          <w:highlight w:val="none"/>
          <w:lang w:val="en-US" w:eastAsia="zh-CN"/>
        </w:rPr>
      </w:pPr>
      <w:bookmarkStart w:id="69" w:name="_Toc3923"/>
      <w:r>
        <w:rPr>
          <w:rFonts w:hint="eastAsia" w:ascii="仿宋" w:hAnsi="仿宋" w:eastAsia="仿宋" w:cs="仿宋"/>
          <w:b/>
          <w:bCs/>
          <w:color w:val="auto"/>
          <w:szCs w:val="32"/>
          <w:highlight w:val="none"/>
          <w:lang w:val="en-US" w:eastAsia="zh-CN"/>
        </w:rPr>
        <w:t>5.1.6路口顺接处理</w:t>
      </w:r>
      <w:bookmarkEnd w:id="69"/>
    </w:p>
    <w:p w14:paraId="5C31C375">
      <w:pPr>
        <w:rPr>
          <w:rFonts w:hint="eastAsia" w:ascii="仿宋" w:hAnsi="仿宋" w:eastAsia="仿宋" w:cs="仿宋"/>
          <w:color w:val="auto"/>
          <w:highlight w:val="none"/>
        </w:rPr>
      </w:pPr>
      <w:r>
        <w:rPr>
          <w:rFonts w:hint="eastAsia" w:ascii="仿宋" w:hAnsi="仿宋" w:eastAsia="仿宋" w:cs="仿宋"/>
          <w:color w:val="auto"/>
          <w:highlight w:val="none"/>
        </w:rPr>
        <w:t>本项目沿线涉及到众多</w:t>
      </w:r>
      <w:r>
        <w:rPr>
          <w:rFonts w:hint="eastAsia" w:ascii="仿宋" w:hAnsi="仿宋" w:eastAsia="仿宋" w:cs="仿宋"/>
          <w:color w:val="auto"/>
          <w:highlight w:val="none"/>
          <w:lang w:eastAsia="zh-CN"/>
        </w:rPr>
        <w:t>厂</w:t>
      </w:r>
      <w:r>
        <w:rPr>
          <w:rFonts w:hint="eastAsia" w:ascii="仿宋" w:hAnsi="仿宋" w:eastAsia="仿宋" w:cs="仿宋"/>
          <w:color w:val="auto"/>
          <w:highlight w:val="none"/>
        </w:rPr>
        <w:t>区</w:t>
      </w:r>
      <w:r>
        <w:rPr>
          <w:rFonts w:hint="eastAsia" w:ascii="仿宋" w:hAnsi="仿宋" w:eastAsia="仿宋" w:cs="仿宋"/>
          <w:color w:val="auto"/>
          <w:highlight w:val="none"/>
          <w:lang w:eastAsia="zh-CN"/>
        </w:rPr>
        <w:t>（小区）</w:t>
      </w:r>
      <w:r>
        <w:rPr>
          <w:rFonts w:hint="eastAsia" w:ascii="仿宋" w:hAnsi="仿宋" w:eastAsia="仿宋" w:cs="仿宋"/>
          <w:color w:val="auto"/>
          <w:highlight w:val="none"/>
        </w:rPr>
        <w:t>出入口及交叉口，衔接处应根据路面状况修复后再整体</w:t>
      </w:r>
      <w:r>
        <w:rPr>
          <w:rFonts w:hint="eastAsia" w:ascii="仿宋" w:hAnsi="仿宋" w:eastAsia="仿宋" w:cs="仿宋"/>
          <w:color w:val="auto"/>
          <w:highlight w:val="none"/>
          <w:lang w:eastAsia="zh-CN"/>
        </w:rPr>
        <w:t>铺装</w:t>
      </w:r>
      <w:r>
        <w:rPr>
          <w:rFonts w:hint="eastAsia" w:ascii="仿宋" w:hAnsi="仿宋" w:eastAsia="仿宋" w:cs="仿宋"/>
          <w:color w:val="auto"/>
          <w:highlight w:val="none"/>
          <w:lang w:val="en-US" w:eastAsia="zh-CN"/>
        </w:rPr>
        <w:t>沥青</w:t>
      </w:r>
      <w:r>
        <w:rPr>
          <w:rFonts w:hint="eastAsia" w:ascii="仿宋" w:hAnsi="仿宋" w:eastAsia="仿宋" w:cs="仿宋"/>
          <w:color w:val="auto"/>
          <w:highlight w:val="none"/>
          <w:lang w:eastAsia="zh-CN"/>
        </w:rPr>
        <w:t>上面层</w:t>
      </w:r>
      <w:r>
        <w:rPr>
          <w:rFonts w:hint="eastAsia" w:ascii="仿宋" w:hAnsi="仿宋" w:eastAsia="仿宋" w:cs="仿宋"/>
          <w:color w:val="auto"/>
          <w:highlight w:val="none"/>
        </w:rPr>
        <w:t>，保证出入口及相交道路衔接顺畅美观。</w:t>
      </w:r>
    </w:p>
    <w:p w14:paraId="60D6F8E1">
      <w:pPr>
        <w:keepNext/>
        <w:keepLines/>
        <w:pageBreakBefore w:val="0"/>
        <w:widowControl w:val="0"/>
        <w:numPr>
          <w:ilvl w:val="0"/>
          <w:numId w:val="0"/>
        </w:numPr>
        <w:kinsoku/>
        <w:wordWrap/>
        <w:overflowPunct/>
        <w:topLinePunct w:val="0"/>
        <w:autoSpaceDE/>
        <w:autoSpaceDN/>
        <w:bidi w:val="0"/>
        <w:adjustRightInd/>
        <w:snapToGrid/>
        <w:jc w:val="left"/>
        <w:textAlignment w:val="auto"/>
        <w:outlineLvl w:val="2"/>
        <w:rPr>
          <w:rFonts w:hint="eastAsia" w:ascii="仿宋" w:hAnsi="仿宋" w:eastAsia="仿宋" w:cs="仿宋"/>
          <w:b/>
          <w:bCs/>
          <w:color w:val="auto"/>
          <w:szCs w:val="32"/>
          <w:highlight w:val="none"/>
          <w:lang w:val="en-US" w:eastAsia="zh-CN"/>
        </w:rPr>
      </w:pPr>
      <w:r>
        <w:rPr>
          <w:rFonts w:hint="eastAsia" w:ascii="仿宋" w:hAnsi="仿宋" w:eastAsia="仿宋" w:cs="仿宋"/>
          <w:b/>
          <w:bCs/>
          <w:color w:val="auto"/>
          <w:szCs w:val="32"/>
          <w:highlight w:val="none"/>
          <w:lang w:val="en-US" w:eastAsia="zh-CN"/>
        </w:rPr>
        <w:t>5.1.7人行道铺装</w:t>
      </w:r>
    </w:p>
    <w:p w14:paraId="5A85CFD4">
      <w:pPr>
        <w:rPr>
          <w:rFonts w:hint="default" w:ascii="仿宋" w:hAnsi="仿宋" w:eastAsia="仿宋" w:cs="仿宋"/>
          <w:color w:val="auto"/>
          <w:highlight w:val="none"/>
          <w:lang w:val="en-US" w:eastAsia="zh-CN"/>
        </w:rPr>
      </w:pPr>
      <w:r>
        <w:rPr>
          <w:rFonts w:hint="eastAsia" w:ascii="仿宋" w:hAnsi="仿宋" w:eastAsia="仿宋" w:cs="仿宋"/>
          <w:color w:val="auto"/>
          <w:highlight w:val="none"/>
          <w:lang w:eastAsia="zh-CN"/>
        </w:rPr>
        <w:t>本次重庆东站站前片区地下管网改造提升工程(一期)-广茂大道局部改造升级仅对人行道病害严重的区域进行修补，具体工程量以现场实际收方为准。</w:t>
      </w:r>
    </w:p>
    <w:p w14:paraId="06FE25AF">
      <w:pPr>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人行道铺装结构设计如下：</w:t>
      </w:r>
    </w:p>
    <w:p w14:paraId="5D8ACF3C">
      <w:pPr>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20</w:t>
      </w:r>
      <w:r>
        <w:rPr>
          <w:rFonts w:hint="eastAsia" w:ascii="仿宋" w:hAnsi="仿宋" w:eastAsia="仿宋" w:cs="仿宋"/>
          <w:color w:val="auto"/>
          <w:highlight w:val="none"/>
          <w:lang w:val="en-US" w:eastAsia="zh-CN"/>
        </w:rPr>
        <w:t>×</w:t>
      </w:r>
      <w:r>
        <w:rPr>
          <w:rFonts w:hint="eastAsia" w:ascii="仿宋" w:hAnsi="仿宋" w:eastAsia="仿宋" w:cs="仿宋"/>
          <w:color w:val="auto"/>
          <w:highlight w:val="none"/>
          <w:lang w:eastAsia="zh-CN"/>
        </w:rPr>
        <w:t>10</w:t>
      </w:r>
      <w:r>
        <w:rPr>
          <w:rFonts w:hint="eastAsia" w:ascii="仿宋" w:hAnsi="仿宋" w:eastAsia="仿宋" w:cs="仿宋"/>
          <w:color w:val="auto"/>
          <w:highlight w:val="none"/>
          <w:lang w:val="en-US" w:eastAsia="zh-CN"/>
        </w:rPr>
        <w:t>×</w:t>
      </w:r>
      <w:r>
        <w:rPr>
          <w:rFonts w:hint="eastAsia" w:ascii="仿宋" w:hAnsi="仿宋" w:eastAsia="仿宋" w:cs="仿宋"/>
          <w:color w:val="auto"/>
          <w:highlight w:val="none"/>
          <w:lang w:eastAsia="zh-CN"/>
        </w:rPr>
        <w:t>6cm灰色透水砖；</w:t>
      </w:r>
    </w:p>
    <w:p w14:paraId="44670791">
      <w:pPr>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3cm厚1：3水泥砂浆；</w:t>
      </w:r>
    </w:p>
    <w:p w14:paraId="522B229F">
      <w:pPr>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15cm厚的4%水泥稳定级配碎石基层；</w:t>
      </w:r>
    </w:p>
    <w:p w14:paraId="373FDA99">
      <w:pPr>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碾压密实路基。</w:t>
      </w:r>
    </w:p>
    <w:p w14:paraId="2136DE33">
      <w:pPr>
        <w:keepNext/>
        <w:keepLines/>
        <w:pageBreakBefore w:val="0"/>
        <w:widowControl w:val="0"/>
        <w:numPr>
          <w:ilvl w:val="0"/>
          <w:numId w:val="0"/>
        </w:numPr>
        <w:kinsoku/>
        <w:wordWrap/>
        <w:overflowPunct/>
        <w:topLinePunct w:val="0"/>
        <w:autoSpaceDE/>
        <w:autoSpaceDN/>
        <w:bidi w:val="0"/>
        <w:adjustRightInd/>
        <w:snapToGrid/>
        <w:jc w:val="left"/>
        <w:textAlignment w:val="auto"/>
        <w:outlineLvl w:val="2"/>
        <w:rPr>
          <w:rFonts w:hint="eastAsia" w:ascii="仿宋" w:hAnsi="仿宋" w:eastAsia="仿宋" w:cs="仿宋"/>
          <w:b/>
          <w:bCs/>
          <w:color w:val="auto"/>
          <w:szCs w:val="32"/>
          <w:highlight w:val="none"/>
          <w:lang w:val="en-US" w:eastAsia="zh-CN"/>
        </w:rPr>
      </w:pPr>
      <w:r>
        <w:rPr>
          <w:rFonts w:hint="eastAsia" w:ascii="仿宋" w:hAnsi="仿宋" w:eastAsia="仿宋" w:cs="仿宋"/>
          <w:b/>
          <w:bCs/>
          <w:color w:val="auto"/>
          <w:szCs w:val="32"/>
          <w:highlight w:val="none"/>
          <w:lang w:val="en-US" w:eastAsia="zh-CN"/>
        </w:rPr>
        <w:t>5.1.8路缘石、路边石</w:t>
      </w:r>
    </w:p>
    <w:p w14:paraId="2D9E4633">
      <w:pPr>
        <w:rPr>
          <w:rFonts w:hint="eastAsia" w:ascii="仿宋" w:hAnsi="仿宋" w:eastAsia="仿宋" w:cs="仿宋"/>
          <w:color w:val="auto"/>
          <w:highlight w:val="none"/>
        </w:rPr>
      </w:pPr>
      <w:bookmarkStart w:id="70" w:name="_Toc527634842"/>
      <w:bookmarkStart w:id="71" w:name="_Toc527634999"/>
      <w:bookmarkStart w:id="72" w:name="_Toc93997314"/>
      <w:r>
        <w:rPr>
          <w:rFonts w:hint="eastAsia" w:ascii="仿宋" w:hAnsi="仿宋" w:eastAsia="仿宋" w:cs="仿宋"/>
          <w:color w:val="auto"/>
          <w:highlight w:val="none"/>
          <w:lang w:eastAsia="zh-CN"/>
        </w:rPr>
        <w:t>车行道边缘</w:t>
      </w:r>
      <w:r>
        <w:rPr>
          <w:rFonts w:hint="eastAsia" w:ascii="仿宋" w:hAnsi="仿宋" w:eastAsia="仿宋" w:cs="仿宋"/>
          <w:color w:val="auto"/>
          <w:highlight w:val="none"/>
        </w:rPr>
        <w:t>路缘石</w:t>
      </w: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中央分隔带路缘石采用</w:t>
      </w:r>
      <w:r>
        <w:rPr>
          <w:rFonts w:hint="eastAsia" w:ascii="仿宋" w:hAnsi="仿宋" w:eastAsia="仿宋" w:cs="仿宋"/>
          <w:color w:val="auto"/>
          <w:highlight w:val="none"/>
        </w:rPr>
        <w:t>C30混凝土预制</w:t>
      </w:r>
      <w:r>
        <w:rPr>
          <w:rFonts w:hint="eastAsia" w:ascii="仿宋" w:hAnsi="仿宋" w:eastAsia="仿宋" w:cs="仿宋"/>
          <w:color w:val="auto"/>
          <w:highlight w:val="none"/>
          <w:lang w:val="en-US" w:eastAsia="zh-CN"/>
        </w:rPr>
        <w:t>，中央分隔带路缘石高×宽×长尺寸为68.7cm×20cm×100cm，车行道边缘路缘石高×宽×长尺寸为58.7cm×20cm×100cm</w:t>
      </w:r>
      <w:r>
        <w:rPr>
          <w:rFonts w:hint="eastAsia" w:ascii="仿宋" w:hAnsi="仿宋" w:eastAsia="仿宋" w:cs="仿宋"/>
          <w:color w:val="auto"/>
          <w:highlight w:val="none"/>
          <w:lang w:eastAsia="zh-CN"/>
        </w:rPr>
        <w:t>。</w:t>
      </w:r>
      <w:r>
        <w:rPr>
          <w:rFonts w:hint="eastAsia" w:ascii="仿宋" w:hAnsi="仿宋" w:eastAsia="仿宋" w:cs="仿宋"/>
          <w:color w:val="auto"/>
          <w:highlight w:val="none"/>
        </w:rPr>
        <w:t>路边石</w:t>
      </w:r>
      <w:r>
        <w:rPr>
          <w:rFonts w:hint="eastAsia" w:ascii="仿宋" w:hAnsi="仿宋" w:eastAsia="仿宋" w:cs="仿宋"/>
          <w:color w:val="auto"/>
          <w:highlight w:val="none"/>
          <w:lang w:eastAsia="zh-CN"/>
        </w:rPr>
        <w:t>（花带石）</w:t>
      </w:r>
      <w:r>
        <w:rPr>
          <w:rFonts w:hint="eastAsia" w:ascii="仿宋" w:hAnsi="仿宋" w:eastAsia="仿宋" w:cs="仿宋"/>
          <w:color w:val="auto"/>
          <w:highlight w:val="none"/>
        </w:rPr>
        <w:t>采用C25混凝土预制，</w:t>
      </w:r>
      <w:r>
        <w:rPr>
          <w:rFonts w:hint="eastAsia" w:ascii="仿宋" w:hAnsi="仿宋" w:eastAsia="仿宋" w:cs="仿宋"/>
          <w:color w:val="auto"/>
          <w:highlight w:val="none"/>
          <w:lang w:val="en-US" w:eastAsia="zh-CN"/>
        </w:rPr>
        <w:t>高×宽×长尺寸为20cm×15cm×100cm</w:t>
      </w:r>
      <w:r>
        <w:rPr>
          <w:rFonts w:hint="eastAsia" w:ascii="仿宋" w:hAnsi="仿宋" w:eastAsia="仿宋" w:cs="仿宋"/>
          <w:color w:val="auto"/>
          <w:highlight w:val="none"/>
        </w:rPr>
        <w:t>。</w:t>
      </w:r>
      <w:r>
        <w:rPr>
          <w:rFonts w:hint="eastAsia" w:ascii="仿宋" w:hAnsi="仿宋" w:eastAsia="仿宋" w:cs="仿宋"/>
          <w:color w:val="auto"/>
          <w:highlight w:val="none"/>
          <w:lang w:eastAsia="zh-CN"/>
        </w:rPr>
        <w:t>路缘石、路边石长度也可根据实际情况确定，路缘石在交叉口等弯道上长度宜为</w:t>
      </w:r>
      <w:r>
        <w:rPr>
          <w:rFonts w:hint="eastAsia" w:ascii="仿宋" w:hAnsi="仿宋" w:eastAsia="仿宋" w:cs="仿宋"/>
          <w:color w:val="auto"/>
          <w:highlight w:val="none"/>
          <w:lang w:val="en-US" w:eastAsia="zh-CN"/>
        </w:rPr>
        <w:t>50cm(小半径弯道25cm)进行碰角圆顺砌筑</w:t>
      </w:r>
      <w:r>
        <w:rPr>
          <w:rFonts w:hint="eastAsia" w:ascii="仿宋" w:hAnsi="仿宋" w:eastAsia="仿宋" w:cs="仿宋"/>
          <w:color w:val="auto"/>
          <w:highlight w:val="none"/>
          <w:lang w:eastAsia="zh-CN"/>
        </w:rPr>
        <w:t>，</w:t>
      </w:r>
      <w:r>
        <w:rPr>
          <w:rFonts w:hint="eastAsia" w:ascii="仿宋" w:hAnsi="仿宋" w:eastAsia="仿宋" w:cs="仿宋"/>
          <w:color w:val="auto"/>
          <w:highlight w:val="none"/>
        </w:rPr>
        <w:t>两节间采用1：3水泥砂浆安装后勾缝（凹缝）宽</w:t>
      </w:r>
      <w:r>
        <w:rPr>
          <w:rFonts w:hint="eastAsia" w:ascii="仿宋" w:hAnsi="仿宋" w:eastAsia="仿宋" w:cs="仿宋"/>
          <w:color w:val="auto"/>
          <w:highlight w:val="none"/>
          <w:lang w:val="en-US" w:eastAsia="zh-CN"/>
        </w:rPr>
        <w:t>0.45</w:t>
      </w:r>
      <w:r>
        <w:rPr>
          <w:rFonts w:hint="eastAsia" w:ascii="仿宋" w:hAnsi="仿宋" w:eastAsia="仿宋" w:cs="仿宋"/>
          <w:color w:val="auto"/>
          <w:highlight w:val="none"/>
        </w:rPr>
        <w:t>cm</w:t>
      </w:r>
      <w:r>
        <w:rPr>
          <w:rFonts w:hint="eastAsia" w:ascii="仿宋" w:hAnsi="仿宋" w:eastAsia="仿宋" w:cs="仿宋"/>
          <w:color w:val="auto"/>
          <w:highlight w:val="none"/>
          <w:lang w:eastAsia="zh-CN"/>
        </w:rPr>
        <w:t>，具体工程量以现场实际收方为准</w:t>
      </w:r>
      <w:r>
        <w:rPr>
          <w:rFonts w:hint="eastAsia" w:ascii="仿宋" w:hAnsi="仿宋" w:eastAsia="仿宋" w:cs="仿宋"/>
          <w:color w:val="auto"/>
          <w:highlight w:val="none"/>
        </w:rPr>
        <w:t>。</w:t>
      </w:r>
    </w:p>
    <w:p w14:paraId="7EC88B5A">
      <w:pPr>
        <w:keepNext/>
        <w:keepLines/>
        <w:pageBreakBefore w:val="0"/>
        <w:widowControl w:val="0"/>
        <w:numPr>
          <w:ilvl w:val="0"/>
          <w:numId w:val="0"/>
        </w:numPr>
        <w:kinsoku/>
        <w:wordWrap/>
        <w:overflowPunct/>
        <w:topLinePunct w:val="0"/>
        <w:autoSpaceDE/>
        <w:autoSpaceDN/>
        <w:bidi w:val="0"/>
        <w:adjustRightInd/>
        <w:snapToGrid/>
        <w:jc w:val="left"/>
        <w:textAlignment w:val="auto"/>
        <w:outlineLvl w:val="2"/>
        <w:rPr>
          <w:rFonts w:hint="eastAsia" w:ascii="仿宋" w:hAnsi="仿宋" w:eastAsia="仿宋" w:cs="仿宋"/>
          <w:b/>
          <w:bCs/>
          <w:color w:val="auto"/>
          <w:szCs w:val="32"/>
          <w:highlight w:val="none"/>
          <w:lang w:val="en-US" w:eastAsia="zh-CN"/>
        </w:rPr>
      </w:pPr>
      <w:r>
        <w:rPr>
          <w:rFonts w:hint="eastAsia" w:ascii="仿宋" w:hAnsi="仿宋" w:eastAsia="仿宋" w:cs="仿宋"/>
          <w:b/>
          <w:bCs/>
          <w:color w:val="auto"/>
          <w:szCs w:val="32"/>
          <w:highlight w:val="none"/>
          <w:lang w:val="en-US" w:eastAsia="zh-CN"/>
        </w:rPr>
        <w:t>5.1.9无障碍设计</w:t>
      </w:r>
      <w:bookmarkEnd w:id="70"/>
      <w:bookmarkEnd w:id="71"/>
      <w:bookmarkEnd w:id="72"/>
    </w:p>
    <w:p w14:paraId="17E947BC">
      <w:pPr>
        <w:rPr>
          <w:rFonts w:hint="eastAsia" w:ascii="仿宋" w:hAnsi="仿宋" w:eastAsia="仿宋" w:cs="仿宋"/>
          <w:color w:val="auto"/>
          <w:highlight w:val="none"/>
          <w:lang w:eastAsia="zh-CN"/>
        </w:rPr>
      </w:pPr>
      <w:r>
        <w:rPr>
          <w:rFonts w:hint="eastAsia" w:ascii="仿宋" w:hAnsi="仿宋" w:eastAsia="仿宋" w:cs="仿宋"/>
          <w:color w:val="auto"/>
          <w:highlight w:val="none"/>
          <w:lang w:val="en-US" w:eastAsia="zh-CN"/>
        </w:rPr>
        <w:t>（1）</w:t>
      </w:r>
      <w:r>
        <w:rPr>
          <w:rFonts w:hint="eastAsia" w:ascii="仿宋" w:hAnsi="仿宋" w:eastAsia="仿宋" w:cs="仿宋"/>
          <w:color w:val="auto"/>
          <w:highlight w:val="none"/>
          <w:lang w:eastAsia="zh-CN"/>
        </w:rPr>
        <w:t>道路交叉口人行道在对应人行横道线的缘石部位设置缘石坡道，其中全宽式单面坡缘石坡道坡度为1：20，非全宽式单面坡缘石坡道坡度为1：12，三面坡缘石坡道坡度为1：12。坡道下口与车行道齐平。交叉口人行横道线贯通道路两侧，经过道路分隔带处压低高度，满足轮椅车通行。</w:t>
      </w:r>
    </w:p>
    <w:p w14:paraId="4411E288">
      <w:pPr>
        <w:rPr>
          <w:rFonts w:hint="eastAsia" w:ascii="仿宋" w:hAnsi="仿宋" w:eastAsia="仿宋" w:cs="仿宋"/>
          <w:color w:val="auto"/>
          <w:highlight w:val="none"/>
          <w:lang w:eastAsia="zh-CN"/>
        </w:rPr>
      </w:pP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lang w:eastAsia="zh-CN"/>
        </w:rPr>
        <w:t>人行道上须设置连续的盲道，行进盲道宽0.5m。人行道设置的盲道位置和走向应方便视残者安全行走和顺利到达无障碍设置位置。指引残疾人向前行走的盲道应为条形的行进盲道，在行进盲道的起、终点及拐弯处应设圆点形提示盲道。盲道表面触感部分以下的厚度应与人行道砖一致。盲道应连续设置，中途不得有电线杆、拉线、树木等障碍物；盲道宜避开井盖铺设，颜色宜为黄色。</w:t>
      </w:r>
    </w:p>
    <w:p w14:paraId="2D2C58F0">
      <w:pPr>
        <w:keepNext/>
        <w:keepLines/>
        <w:pageBreakBefore w:val="0"/>
        <w:widowControl w:val="0"/>
        <w:numPr>
          <w:ilvl w:val="0"/>
          <w:numId w:val="0"/>
        </w:numPr>
        <w:kinsoku/>
        <w:wordWrap/>
        <w:overflowPunct/>
        <w:topLinePunct w:val="0"/>
        <w:autoSpaceDE/>
        <w:autoSpaceDN/>
        <w:bidi w:val="0"/>
        <w:adjustRightInd/>
        <w:snapToGrid/>
        <w:jc w:val="left"/>
        <w:textAlignment w:val="auto"/>
        <w:outlineLvl w:val="2"/>
        <w:rPr>
          <w:rFonts w:hint="eastAsia" w:ascii="仿宋" w:hAnsi="仿宋" w:eastAsia="仿宋" w:cs="仿宋"/>
          <w:b/>
          <w:bCs/>
          <w:color w:val="auto"/>
          <w:szCs w:val="32"/>
          <w:highlight w:val="none"/>
          <w:lang w:val="en-US" w:eastAsia="zh-CN"/>
        </w:rPr>
      </w:pPr>
      <w:r>
        <w:rPr>
          <w:rFonts w:hint="eastAsia" w:ascii="仿宋" w:hAnsi="仿宋" w:eastAsia="仿宋" w:cs="仿宋"/>
          <w:b/>
          <w:bCs/>
          <w:color w:val="auto"/>
          <w:szCs w:val="32"/>
          <w:highlight w:val="none"/>
          <w:lang w:val="en-US" w:eastAsia="zh-CN"/>
        </w:rPr>
        <w:t>5.1.10 其他设施、</w:t>
      </w:r>
    </w:p>
    <w:p w14:paraId="1660991A">
      <w:pPr>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现状人行道修复时，对现状路灯进行检修排查，对损坏路灯及电缆进行更换。更换路灯光源暂定为50W和150W;电缆暂按YJV-1kV-5x16考虑。具体数量及规格以现状实际为准。</w:t>
      </w:r>
    </w:p>
    <w:bookmarkEnd w:id="62"/>
    <w:bookmarkEnd w:id="63"/>
    <w:p w14:paraId="723CDBA3">
      <w:pPr>
        <w:keepNext/>
        <w:keepLines/>
        <w:pageBreakBefore w:val="0"/>
        <w:widowControl w:val="0"/>
        <w:numPr>
          <w:ilvl w:val="0"/>
          <w:numId w:val="0"/>
        </w:numPr>
        <w:kinsoku/>
        <w:wordWrap/>
        <w:overflowPunct/>
        <w:topLinePunct w:val="0"/>
        <w:autoSpaceDE/>
        <w:autoSpaceDN/>
        <w:bidi w:val="0"/>
        <w:adjustRightInd/>
        <w:snapToGrid/>
        <w:spacing w:line="360" w:lineRule="auto"/>
        <w:ind w:leftChars="0"/>
        <w:jc w:val="left"/>
        <w:textAlignment w:val="auto"/>
        <w:outlineLvl w:val="1"/>
        <w:rPr>
          <w:rFonts w:hint="eastAsia" w:ascii="仿宋" w:hAnsi="仿宋" w:eastAsia="仿宋" w:cs="仿宋"/>
          <w:b/>
          <w:bCs/>
          <w:color w:val="auto"/>
          <w:sz w:val="28"/>
          <w:szCs w:val="28"/>
          <w:highlight w:val="none"/>
          <w:lang w:val="en-US" w:eastAsia="zh-CN"/>
        </w:rPr>
      </w:pPr>
      <w:bookmarkStart w:id="73" w:name="_Toc93997311"/>
      <w:bookmarkStart w:id="74" w:name="_Toc28021"/>
      <w:bookmarkStart w:id="75" w:name="_Toc93997385"/>
      <w:bookmarkStart w:id="76" w:name="_Toc215634696"/>
      <w:bookmarkStart w:id="77" w:name="_Toc340828718"/>
      <w:bookmarkStart w:id="78" w:name="_Toc340667835"/>
      <w:bookmarkStart w:id="79" w:name="_Toc402962036"/>
      <w:bookmarkStart w:id="80" w:name="_Toc340819479"/>
      <w:bookmarkStart w:id="81" w:name="_Toc405140863"/>
      <w:bookmarkStart w:id="82" w:name="_Toc519588963"/>
      <w:r>
        <w:rPr>
          <w:rFonts w:hint="eastAsia" w:ascii="仿宋" w:hAnsi="仿宋" w:eastAsia="仿宋" w:cs="仿宋"/>
          <w:b/>
          <w:bCs/>
          <w:color w:val="auto"/>
          <w:sz w:val="28"/>
          <w:szCs w:val="28"/>
          <w:highlight w:val="none"/>
          <w:lang w:val="en-US" w:eastAsia="zh-CN"/>
        </w:rPr>
        <w:t>5.2</w:t>
      </w:r>
      <w:bookmarkEnd w:id="73"/>
      <w:bookmarkEnd w:id="74"/>
      <w:bookmarkEnd w:id="75"/>
      <w:r>
        <w:rPr>
          <w:rFonts w:hint="eastAsia" w:ascii="仿宋" w:hAnsi="仿宋" w:eastAsia="仿宋" w:cs="仿宋"/>
          <w:b/>
          <w:bCs/>
          <w:color w:val="auto"/>
          <w:sz w:val="28"/>
          <w:szCs w:val="28"/>
          <w:highlight w:val="none"/>
          <w:lang w:val="en-US" w:eastAsia="zh-CN"/>
        </w:rPr>
        <w:t>植物修复提升</w:t>
      </w:r>
      <w:bookmarkEnd w:id="76"/>
      <w:bookmarkEnd w:id="77"/>
      <w:bookmarkEnd w:id="78"/>
      <w:bookmarkEnd w:id="79"/>
      <w:bookmarkEnd w:id="80"/>
      <w:bookmarkEnd w:id="81"/>
    </w:p>
    <w:p w14:paraId="3E9A7125">
      <w:pPr>
        <w:keepNext/>
        <w:keepLines/>
        <w:pageBreakBefore w:val="0"/>
        <w:widowControl w:val="0"/>
        <w:numPr>
          <w:ilvl w:val="0"/>
          <w:numId w:val="0"/>
        </w:numPr>
        <w:kinsoku/>
        <w:wordWrap/>
        <w:overflowPunct/>
        <w:topLinePunct w:val="0"/>
        <w:autoSpaceDE/>
        <w:autoSpaceDN/>
        <w:bidi w:val="0"/>
        <w:adjustRightInd/>
        <w:snapToGrid/>
        <w:jc w:val="left"/>
        <w:textAlignment w:val="auto"/>
        <w:outlineLvl w:val="2"/>
        <w:rPr>
          <w:rFonts w:hint="eastAsia" w:ascii="仿宋" w:hAnsi="仿宋" w:eastAsia="仿宋" w:cs="仿宋"/>
          <w:b/>
          <w:bCs/>
          <w:color w:val="auto"/>
          <w:szCs w:val="32"/>
          <w:highlight w:val="none"/>
          <w:lang w:val="en-US" w:eastAsia="zh-CN"/>
        </w:rPr>
      </w:pPr>
      <w:r>
        <w:rPr>
          <w:rFonts w:hint="eastAsia" w:ascii="仿宋" w:hAnsi="仿宋" w:eastAsia="仿宋" w:cs="仿宋"/>
          <w:b/>
          <w:bCs/>
          <w:color w:val="auto"/>
          <w:szCs w:val="32"/>
          <w:highlight w:val="none"/>
          <w:lang w:val="en-US" w:eastAsia="zh-CN"/>
        </w:rPr>
        <w:t>5.2.1绿化设计部分</w:t>
      </w:r>
    </w:p>
    <w:p w14:paraId="4090F609">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（1）栽植基础</w:t>
      </w:r>
    </w:p>
    <w:p w14:paraId="3B74C18E">
      <w:pPr>
        <w:numPr>
          <w:ilvl w:val="0"/>
          <w:numId w:val="13"/>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绿化栽植或播种前首先对土壤进行粗整,清除土壤中的碎石,杂草/杂物等。并应对该地区的土壤理化性质进行化验分析，采取相应的土壤改良、施肥和置换客土等措施，绿化栽植土壤有效土层厚度应符合下表&lt;绿化栽植土壤有效土层厚度&gt;规定。</w:t>
      </w:r>
    </w:p>
    <w:p w14:paraId="1C036FC4">
      <w:pPr>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object>
          <v:shape id="_x0000_i1025" o:spt="75" type="#_x0000_t75" style="height:184.5pt;width:310.6pt;" o:ole="t" filled="f" o:preferrelative="t" stroked="f" coordsize="21600,21600">
            <v:path/>
            <v:fill on="f" focussize="0,0"/>
            <v:stroke on="f"/>
            <v:imagedata r:id="rId32" o:title=""/>
            <o:lock v:ext="edit" aspectratio="t"/>
            <w10:wrap type="none"/>
            <w10:anchorlock/>
          </v:shape>
          <o:OLEObject Type="Embed" ProgID="Excel.Sheet.12" ShapeID="_x0000_i1025" DrawAspect="Content" ObjectID="_1468075725" r:id="rId31">
            <o:LockedField>false</o:LockedField>
          </o:OLEObject>
        </w:object>
      </w:r>
    </w:p>
    <w:p w14:paraId="308BBD2E">
      <w:pPr>
        <w:numPr>
          <w:ilvl w:val="0"/>
          <w:numId w:val="13"/>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栽植基础严禁使用含有害成分的土壤，除有设施空间绿化等特殊隔离地带，绿化栽植土壤有效土层下不得有不透水层。</w:t>
      </w:r>
    </w:p>
    <w:p w14:paraId="2B646772">
      <w:pPr>
        <w:numPr>
          <w:ilvl w:val="0"/>
          <w:numId w:val="13"/>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园林植物栽植土应包括客土、原土利用、栽植基质等，栽植土应符合下列规定：</w:t>
      </w:r>
    </w:p>
    <w:p w14:paraId="55F52883">
      <w:pPr>
        <w:numPr>
          <w:ilvl w:val="0"/>
          <w:numId w:val="14"/>
        </w:numPr>
        <w:ind w:left="0" w:leftChars="0" w:firstLine="400" w:firstLineChars="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土壤pH值应符合本地区栽植土标准或按pH值5.6~8.0进行选择。</w:t>
      </w:r>
    </w:p>
    <w:p w14:paraId="09903D27">
      <w:pPr>
        <w:numPr>
          <w:ilvl w:val="0"/>
          <w:numId w:val="14"/>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土壤全盐含量应为0.1%~0.3%。</w:t>
      </w:r>
    </w:p>
    <w:p w14:paraId="142C6A1A">
      <w:pPr>
        <w:numPr>
          <w:ilvl w:val="0"/>
          <w:numId w:val="14"/>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土壤容重应为1.0g/cm3~1.35g/cm3。</w:t>
      </w:r>
    </w:p>
    <w:p w14:paraId="0F70AC29">
      <w:pPr>
        <w:numPr>
          <w:ilvl w:val="0"/>
          <w:numId w:val="14"/>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土壤有机质含量不应小于1.5%。</w:t>
      </w:r>
    </w:p>
    <w:p w14:paraId="06D1FD64">
      <w:pPr>
        <w:numPr>
          <w:ilvl w:val="0"/>
          <w:numId w:val="14"/>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土壤块径不应大于5cm。</w:t>
      </w:r>
    </w:p>
    <w:p w14:paraId="287F3AAE">
      <w:pPr>
        <w:numPr>
          <w:ilvl w:val="0"/>
          <w:numId w:val="14"/>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栽植土应见证取样，经有资质检验单位检测并在栽植前取得符合要求的测试结果。</w:t>
      </w:r>
    </w:p>
    <w:p w14:paraId="5A507CA3">
      <w:pPr>
        <w:numPr>
          <w:ilvl w:val="0"/>
          <w:numId w:val="14"/>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栽植土验收批及取样方法应符合下列规定：</w:t>
      </w:r>
    </w:p>
    <w:p w14:paraId="1292C279">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客土每500m3或2000m2为一检验批，应于土层20cm及50cm处，随机取样5处，每处取样100g，混合后组成一组试样；原状土2000m2以下，随机取样不得少于3处；</w:t>
      </w:r>
    </w:p>
    <w:p w14:paraId="652AC502">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原状土在同一区域每2000mm2为一检验批，应于土层20cm及50cm处，随机取样5处，每处取样100g，混合后u组成一组试样；栽植基质200m3以下，随机取样不得少于3袋。</w:t>
      </w:r>
    </w:p>
    <w:p w14:paraId="15B28AE2">
      <w:pPr>
        <w:numPr>
          <w:ilvl w:val="0"/>
          <w:numId w:val="13"/>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绿化栽植前场地清理应符合下列规定：</w:t>
      </w:r>
    </w:p>
    <w:p w14:paraId="3B4B629E">
      <w:pPr>
        <w:numPr>
          <w:ilvl w:val="0"/>
          <w:numId w:val="15"/>
        </w:numPr>
        <w:ind w:left="0" w:leftChars="0" w:firstLine="400" w:firstLineChars="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有各种管线的区域、建（构）筑物周边的整理绿化用地，应在其完工验收合格后进行。</w:t>
      </w:r>
    </w:p>
    <w:p w14:paraId="72A14194">
      <w:pPr>
        <w:numPr>
          <w:ilvl w:val="0"/>
          <w:numId w:val="15"/>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应将现场内的渣土、工程废料、宿根性杂草、树根及其有害污染物清除干净。</w:t>
      </w:r>
    </w:p>
    <w:p w14:paraId="65B8F960">
      <w:pPr>
        <w:numPr>
          <w:ilvl w:val="0"/>
          <w:numId w:val="15"/>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对清理的废弃构建物、工程渣土、不符合栽植土理化标准的原状土等应做好测量记录、签认。</w:t>
      </w:r>
    </w:p>
    <w:p w14:paraId="4C1B494E">
      <w:pPr>
        <w:numPr>
          <w:ilvl w:val="0"/>
          <w:numId w:val="15"/>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场地标高及清理程度应符合设计和栽植要求。</w:t>
      </w:r>
    </w:p>
    <w:p w14:paraId="197C40E5">
      <w:pPr>
        <w:numPr>
          <w:ilvl w:val="0"/>
          <w:numId w:val="15"/>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填垫范围内不应有坑洼、积水。</w:t>
      </w:r>
    </w:p>
    <w:p w14:paraId="4CFA58B8">
      <w:pPr>
        <w:numPr>
          <w:ilvl w:val="0"/>
          <w:numId w:val="15"/>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对软泥和不透水层进行处理。</w:t>
      </w:r>
    </w:p>
    <w:p w14:paraId="01D1046B">
      <w:pPr>
        <w:numPr>
          <w:ilvl w:val="0"/>
          <w:numId w:val="13"/>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栽植土回填及地形造型应符合下列规定：</w:t>
      </w:r>
    </w:p>
    <w:p w14:paraId="2CC17638">
      <w:pPr>
        <w:numPr>
          <w:ilvl w:val="0"/>
          <w:numId w:val="16"/>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地形造型的测量放线工作应做好记录、签认。</w:t>
      </w:r>
    </w:p>
    <w:p w14:paraId="149FF583">
      <w:pPr>
        <w:numPr>
          <w:ilvl w:val="0"/>
          <w:numId w:val="16"/>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造型胎土、栽植土应符合设计要求并检测报告。</w:t>
      </w:r>
    </w:p>
    <w:p w14:paraId="34ED20A8">
      <w:pPr>
        <w:numPr>
          <w:ilvl w:val="0"/>
          <w:numId w:val="16"/>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回填土壤应分层适度夯实，或自然沉降达到基本稳定，严禁用机械反复碾压。</w:t>
      </w:r>
    </w:p>
    <w:p w14:paraId="6D5DB200">
      <w:pPr>
        <w:numPr>
          <w:ilvl w:val="0"/>
          <w:numId w:val="16"/>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回填土及地形造型的范围、厚度、标高、造型及坡度均应符合设计要求。</w:t>
      </w:r>
    </w:p>
    <w:p w14:paraId="012E569A">
      <w:pPr>
        <w:numPr>
          <w:ilvl w:val="0"/>
          <w:numId w:val="16"/>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地形造型应自然顺畅。</w:t>
      </w:r>
    </w:p>
    <w:p w14:paraId="255494AA">
      <w:pPr>
        <w:numPr>
          <w:ilvl w:val="0"/>
          <w:numId w:val="16"/>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地形造型尺寸和高程允许偏差应符合下表&lt;地形造型尺寸和高程允许偏差&gt;的规定。</w:t>
      </w:r>
    </w:p>
    <w:p w14:paraId="22793BEE">
      <w:pPr>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object>
          <v:shape id="_x0000_i1026" o:spt="75" type="#_x0000_t75" style="height:114.2pt;width:320.85pt;" o:ole="t" filled="f" o:preferrelative="t" stroked="f" coordsize="21600,21600">
            <v:path/>
            <v:fill on="f" focussize="0,0"/>
            <v:stroke on="f"/>
            <v:imagedata r:id="rId34" o:title=""/>
            <o:lock v:ext="edit" aspectratio="t"/>
            <w10:wrap type="none"/>
            <w10:anchorlock/>
          </v:shape>
          <o:OLEObject Type="Embed" ProgID="Excel.Sheet.12" ShapeID="_x0000_i1026" DrawAspect="Content" ObjectID="_1468075726" r:id="rId33">
            <o:LockedField>false</o:LockedField>
          </o:OLEObject>
        </w:object>
      </w:r>
    </w:p>
    <w:p w14:paraId="4348F03C">
      <w:pPr>
        <w:numPr>
          <w:ilvl w:val="0"/>
          <w:numId w:val="13"/>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栽植土施肥和表层整理应符合下列规定：</w:t>
      </w:r>
    </w:p>
    <w:p w14:paraId="41584D46">
      <w:pPr>
        <w:numPr>
          <w:ilvl w:val="0"/>
          <w:numId w:val="17"/>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栽植土施肥应按下列方式进行：</w:t>
      </w:r>
    </w:p>
    <w:p w14:paraId="5B3DF0C8">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商品肥料应有产品合格证明，或已经过试验证明符合要求；</w:t>
      </w:r>
    </w:p>
    <w:p w14:paraId="1601DACD">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有机肥应充分腐熟方可使用；</w:t>
      </w:r>
    </w:p>
    <w:p w14:paraId="7BD7E374">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施用无机肥料应测定绿地土壤有效养分含量，并宜采用缓释性无机肥。</w:t>
      </w:r>
    </w:p>
    <w:p w14:paraId="13504506">
      <w:pPr>
        <w:numPr>
          <w:ilvl w:val="0"/>
          <w:numId w:val="17"/>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栽植土表层整理应按下列方式进行：</w:t>
      </w:r>
    </w:p>
    <w:p w14:paraId="014265AD">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栽植土表层不得有明显低洼和积水处，花坛、花镜栽植地30cm深的表层土必须疏松；</w:t>
      </w:r>
    </w:p>
    <w:p w14:paraId="647EA026">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栽植土表层应整洁，所含石砾中粒径大于3cm的不得超过10%，粒径小于2.5cm不得超过20%，杂草等杂物不应超过10%；土块粒径应符合下表的规定；</w:t>
      </w:r>
    </w:p>
    <w:p w14:paraId="65F37B72">
      <w:pPr>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object>
          <v:shape id="_x0000_i1027" o:spt="75" type="#_x0000_t75" style="height:97.35pt;width:365.4pt;" o:ole="t" filled="f" o:preferrelative="t" stroked="f" coordsize="21600,21600">
            <v:path/>
            <v:fill on="f" focussize="0,0"/>
            <v:stroke on="f"/>
            <v:imagedata r:id="rId36" o:title=""/>
            <o:lock v:ext="edit" aspectratio="t"/>
            <w10:wrap type="none"/>
            <w10:anchorlock/>
          </v:shape>
          <o:OLEObject Type="Embed" ProgID="Excel.Sheet.12" ShapeID="_x0000_i1027" DrawAspect="Content" ObjectID="_1468075727" r:id="rId35">
            <o:LockedField>false</o:LockedField>
          </o:OLEObject>
        </w:object>
      </w:r>
    </w:p>
    <w:p w14:paraId="71C4DA3D">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栽植土表层与道路（挡土墙或侧石）接壤土，栽植土应低于侧石3cm~5cm；栽植土与边口线基本平直；</w:t>
      </w:r>
    </w:p>
    <w:p w14:paraId="3C5D2A86">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栽植土表层整地后应平整略有坡度，当无设计要求时，其坡度宜为0.3%~0.5%。</w:t>
      </w:r>
    </w:p>
    <w:p w14:paraId="7F21198F">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（2）植物材料</w:t>
      </w:r>
    </w:p>
    <w:p w14:paraId="66846107">
      <w:pPr>
        <w:numPr>
          <w:ilvl w:val="0"/>
          <w:numId w:val="18"/>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植物材料种类、品种名称及规格应符合设计要求。</w:t>
      </w:r>
    </w:p>
    <w:p w14:paraId="206DE5F6">
      <w:pPr>
        <w:numPr>
          <w:ilvl w:val="0"/>
          <w:numId w:val="18"/>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严禁使用带有严重病虫害的植物材料，非检疫对象的病虫害危害程度或危害痕迹不得超过树体的5%~10%。自外省市及国外引进的植物材料应有植物检疫证。</w:t>
      </w:r>
    </w:p>
    <w:p w14:paraId="27B2EA3E">
      <w:pPr>
        <w:numPr>
          <w:ilvl w:val="0"/>
          <w:numId w:val="18"/>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苗木要求</w:t>
      </w:r>
    </w:p>
    <w:p w14:paraId="48C7B24E">
      <w:pPr>
        <w:keepNext w:val="0"/>
        <w:keepLines w:val="0"/>
        <w:pageBreakBefore w:val="0"/>
        <w:widowControl w:val="0"/>
        <w:numPr>
          <w:ilvl w:val="0"/>
          <w:numId w:val="19"/>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严格按苗木规格购苗，应选择枝干健壮，形体优美的苗木，苗木移植尽量减少截枝量，严禁出现没枝的单干苗木，乔木的分枝点应不少于四个，树型特殊的树种，分枝必须有4层以上。</w:t>
      </w:r>
    </w:p>
    <w:p w14:paraId="137F0B68">
      <w:pPr>
        <w:keepNext w:val="0"/>
        <w:keepLines w:val="0"/>
        <w:pageBreakBefore w:val="0"/>
        <w:widowControl w:val="0"/>
        <w:numPr>
          <w:ilvl w:val="0"/>
          <w:numId w:val="19"/>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规则式种植的乔灌木，（如广场上列植乔木等）同种苗木的规格大小应统一。</w:t>
      </w:r>
    </w:p>
    <w:p w14:paraId="4680D068">
      <w:pPr>
        <w:keepNext w:val="0"/>
        <w:keepLines w:val="0"/>
        <w:pageBreakBefore w:val="0"/>
        <w:widowControl w:val="0"/>
        <w:numPr>
          <w:ilvl w:val="0"/>
          <w:numId w:val="19"/>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丛植或群式种植的乔灌木，同种或不同种苗木都应高低错落，充分体现自然生长的特点。植后同种苗木相差30CM左右。</w:t>
      </w:r>
    </w:p>
    <w:p w14:paraId="06068C1D">
      <w:pPr>
        <w:keepNext w:val="0"/>
        <w:keepLines w:val="0"/>
        <w:pageBreakBefore w:val="0"/>
        <w:widowControl w:val="0"/>
        <w:numPr>
          <w:ilvl w:val="0"/>
          <w:numId w:val="19"/>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孤植树应选种树形姿态优美、造型奇特、冠形圆整耐看的优质苗木。</w:t>
      </w:r>
    </w:p>
    <w:p w14:paraId="1C7BC712">
      <w:pPr>
        <w:keepNext w:val="0"/>
        <w:keepLines w:val="0"/>
        <w:pageBreakBefore w:val="0"/>
        <w:widowControl w:val="0"/>
        <w:numPr>
          <w:ilvl w:val="0"/>
          <w:numId w:val="19"/>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整形装饰篱木规格大小应一致，修剪整形的观赏面应为圆滑曲线弧形。起伏有致。</w:t>
      </w:r>
    </w:p>
    <w:p w14:paraId="039D6B97">
      <w:pPr>
        <w:keepNext w:val="0"/>
        <w:keepLines w:val="0"/>
        <w:pageBreakBefore w:val="0"/>
        <w:widowControl w:val="0"/>
        <w:numPr>
          <w:ilvl w:val="0"/>
          <w:numId w:val="19"/>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分层种植的灌木花带边缘轮廓线上种植密度应大于规定密度，平面线形流畅，外缘成弧形，高低层次分明，且于周边点种植物高差不少于300mm。</w:t>
      </w:r>
    </w:p>
    <w:p w14:paraId="5225FD24">
      <w:pPr>
        <w:keepNext w:val="0"/>
        <w:keepLines w:val="0"/>
        <w:pageBreakBefore w:val="0"/>
        <w:widowControl w:val="0"/>
        <w:numPr>
          <w:ilvl w:val="0"/>
          <w:numId w:val="19"/>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具体苗木品种规格见施工图《苗木表》中：</w:t>
      </w:r>
    </w:p>
    <w:p w14:paraId="35FF5534">
      <w:pPr>
        <w:keepNext w:val="0"/>
        <w:keepLines w:val="0"/>
        <w:pageBreakBefore w:val="0"/>
        <w:widowControl w:val="0"/>
        <w:numPr>
          <w:ilvl w:val="0"/>
          <w:numId w:val="19"/>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高度：为苗木经常规处理后的种植自然高度。（单位：cm）</w:t>
      </w:r>
    </w:p>
    <w:p w14:paraId="35DD5276">
      <w:pPr>
        <w:keepNext w:val="0"/>
        <w:keepLines w:val="0"/>
        <w:pageBreakBefore w:val="0"/>
        <w:widowControl w:val="0"/>
        <w:numPr>
          <w:ilvl w:val="0"/>
          <w:numId w:val="19"/>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胸径：为所种植乔木离地面100cm处的平均直径，表中规定为上限和下限种植时，最小不能小于表列下限，最大不能超过上限3cm（主景树可达5cm），以求种植物苗木均匀统一，利于生产。（单位：cm）</w:t>
      </w:r>
    </w:p>
    <w:p w14:paraId="6647187D">
      <w:pPr>
        <w:keepNext w:val="0"/>
        <w:keepLines w:val="0"/>
        <w:pageBreakBefore w:val="0"/>
        <w:widowControl w:val="0"/>
        <w:numPr>
          <w:ilvl w:val="0"/>
          <w:numId w:val="19"/>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土球：苗木挖掘后保留的泥头直径，土球尽可能大，确保植物成活率。</w:t>
      </w:r>
    </w:p>
    <w:p w14:paraId="19172C80">
      <w:pPr>
        <w:keepNext w:val="0"/>
        <w:keepLines w:val="0"/>
        <w:pageBreakBefore w:val="0"/>
        <w:widowControl w:val="0"/>
        <w:numPr>
          <w:ilvl w:val="0"/>
          <w:numId w:val="19"/>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树木土球计算应为:普通苗木土球直径=2*(树地径周长+树直径),大苗土球应加大,根据不同情况土球是胸径的7-10倍.</w:t>
      </w:r>
    </w:p>
    <w:p w14:paraId="3557235C">
      <w:pPr>
        <w:keepNext w:val="0"/>
        <w:keepLines w:val="0"/>
        <w:pageBreakBefore w:val="0"/>
        <w:widowControl w:val="0"/>
        <w:numPr>
          <w:ilvl w:val="0"/>
          <w:numId w:val="19"/>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冠幅：是指乔木修剪小枝后，大枝的分枝最低幅度或灌木的叶冠幅。而灌木的冠幅尺寸是指叶子丰满部分。只伸出外面的两、三个单枝不在冠幅所指之内，乔木也应尽量多留些枝叶。</w:t>
      </w:r>
    </w:p>
    <w:p w14:paraId="3EAB21AB">
      <w:pPr>
        <w:keepNext w:val="0"/>
        <w:keepLines w:val="0"/>
        <w:pageBreakBefore w:val="0"/>
        <w:widowControl w:val="0"/>
        <w:numPr>
          <w:ilvl w:val="0"/>
          <w:numId w:val="19"/>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所有植物必须健康、新鲜、无病虫害，无缺乏矿物质症状，生长旺盛,形体完美。</w:t>
      </w:r>
    </w:p>
    <w:p w14:paraId="37E85EB1">
      <w:pPr>
        <w:keepNext w:val="0"/>
        <w:keepLines w:val="0"/>
        <w:pageBreakBefore w:val="0"/>
        <w:widowControl w:val="0"/>
        <w:numPr>
          <w:ilvl w:val="0"/>
          <w:numId w:val="19"/>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严格按设计规格选苗，花灌木尽量选用容器苗，地苗应保证移植根系，带好土球，包装结实牢靠。</w:t>
      </w:r>
    </w:p>
    <w:p w14:paraId="77096123">
      <w:pPr>
        <w:numPr>
          <w:ilvl w:val="0"/>
          <w:numId w:val="18"/>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植物材料的外观质量要求和检验方法应符合下表&lt;植物材料外观质量要求和检验方法&gt;的规定。</w:t>
      </w:r>
    </w:p>
    <w:p w14:paraId="183C55C4">
      <w:pPr>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object>
          <v:shape id="_x0000_i1028" o:spt="75" type="#_x0000_t75" style="height:309pt;width:469.75pt;" o:ole="t" filled="f" o:preferrelative="t" stroked="f" coordsize="21600,21600">
            <v:path/>
            <v:fill on="f" focussize="0,0"/>
            <v:stroke on="f"/>
            <v:imagedata r:id="rId38" o:title=""/>
            <o:lock v:ext="edit" aspectratio="t"/>
            <w10:wrap type="none"/>
            <w10:anchorlock/>
          </v:shape>
          <o:OLEObject Type="Embed" ProgID="Excel.Sheet.12" ShapeID="_x0000_i1028" DrawAspect="Content" ObjectID="_1468075728" r:id="rId37">
            <o:LockedField>false</o:LockedField>
          </o:OLEObject>
        </w:object>
      </w:r>
    </w:p>
    <w:p w14:paraId="02B4BF9B">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（3）苗木运输和假植</w:t>
      </w:r>
    </w:p>
    <w:p w14:paraId="770AA025">
      <w:pPr>
        <w:numPr>
          <w:ilvl w:val="0"/>
          <w:numId w:val="20"/>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苗木装运前应仔细核对苗木品种、规格、数量、质量。外地苗木应事先办理苗木检疫手续。</w:t>
      </w:r>
    </w:p>
    <w:p w14:paraId="4B261CBB">
      <w:pPr>
        <w:numPr>
          <w:ilvl w:val="0"/>
          <w:numId w:val="20"/>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苗木运输量应根据现场栽植量确定，苗木运到现场后应及时栽植。确保当天栽植完毕。</w:t>
      </w:r>
    </w:p>
    <w:p w14:paraId="45E1E293">
      <w:pPr>
        <w:numPr>
          <w:ilvl w:val="0"/>
          <w:numId w:val="20"/>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运输吊装苗木的机具和车辆的工作吨位，必须满足苗木吊装、运输的需要，并应制订相应的安全操作措施。</w:t>
      </w:r>
    </w:p>
    <w:p w14:paraId="39B00758">
      <w:pPr>
        <w:numPr>
          <w:ilvl w:val="0"/>
          <w:numId w:val="20"/>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裸根苗木运输时，应进行覆盖，保持根部湿润。装车、运输、卸车时应不得损伤苗木。</w:t>
      </w:r>
    </w:p>
    <w:p w14:paraId="315555AC">
      <w:pPr>
        <w:numPr>
          <w:ilvl w:val="0"/>
          <w:numId w:val="20"/>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带土球苗木装车和运输时排列顺序应合理，捆绑稳固，卸车时应轻取轻放，不得损伤苗木及散球。</w:t>
      </w:r>
    </w:p>
    <w:p w14:paraId="5042B608">
      <w:pPr>
        <w:numPr>
          <w:ilvl w:val="0"/>
          <w:numId w:val="20"/>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苗木运到现场，当天不能栽植的应及时进行假植。</w:t>
      </w:r>
    </w:p>
    <w:p w14:paraId="00510A5A">
      <w:pPr>
        <w:numPr>
          <w:ilvl w:val="0"/>
          <w:numId w:val="20"/>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苗木假植应符合下列规定：</w:t>
      </w:r>
    </w:p>
    <w:p w14:paraId="3024767B">
      <w:pPr>
        <w:keepNext w:val="0"/>
        <w:keepLines w:val="0"/>
        <w:pageBreakBefore w:val="0"/>
        <w:widowControl w:val="0"/>
        <w:numPr>
          <w:ilvl w:val="0"/>
          <w:numId w:val="21"/>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裸根苗可在栽植现场附近选择适合地点，根据根幅大小，挖假植沟假植。假植时间较长时，根系应用湿土埋严，不得透风，根系不得失水。</w:t>
      </w:r>
    </w:p>
    <w:p w14:paraId="4EB4BE19">
      <w:pPr>
        <w:keepNext w:val="0"/>
        <w:keepLines w:val="0"/>
        <w:pageBreakBefore w:val="0"/>
        <w:widowControl w:val="0"/>
        <w:numPr>
          <w:ilvl w:val="0"/>
          <w:numId w:val="21"/>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带土球苗木假植，可将苗木码放整齐，土球四周培土，喷水保持土球湿润。</w:t>
      </w:r>
    </w:p>
    <w:p w14:paraId="52024F39">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（4）苗木修剪</w:t>
      </w:r>
    </w:p>
    <w:p w14:paraId="43575FF3">
      <w:pPr>
        <w:numPr>
          <w:ilvl w:val="0"/>
          <w:numId w:val="22"/>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苗木栽植前的修剪应根据各地自然条件，推广以抗蒸腾剂为主体的免修剪栽植技术或采取以疏枝为主，适度轻剪，保持树体地上、地下部位生长平衡。</w:t>
      </w:r>
    </w:p>
    <w:p w14:paraId="6AE6EBED">
      <w:pPr>
        <w:numPr>
          <w:ilvl w:val="0"/>
          <w:numId w:val="22"/>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灌木及藤本类修剪应符合下列规定：</w:t>
      </w:r>
    </w:p>
    <w:p w14:paraId="6107D195">
      <w:pPr>
        <w:keepNext w:val="0"/>
        <w:keepLines w:val="0"/>
        <w:pageBreakBefore w:val="0"/>
        <w:widowControl w:val="0"/>
        <w:numPr>
          <w:ilvl w:val="0"/>
          <w:numId w:val="23"/>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有明显主干型灌木，修剪时应保持原有树型，主枝分布均匀，主枝短截长度宜不超过1/2。</w:t>
      </w:r>
    </w:p>
    <w:p w14:paraId="2B79AD66">
      <w:pPr>
        <w:keepNext w:val="0"/>
        <w:keepLines w:val="0"/>
        <w:pageBreakBefore w:val="0"/>
        <w:widowControl w:val="0"/>
        <w:numPr>
          <w:ilvl w:val="0"/>
          <w:numId w:val="23"/>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丛枝型灌木预留枝条宜大于30cm。多干型灌木不宜疏枝。</w:t>
      </w:r>
    </w:p>
    <w:p w14:paraId="47A9F7D8">
      <w:pPr>
        <w:keepNext w:val="0"/>
        <w:keepLines w:val="0"/>
        <w:pageBreakBefore w:val="0"/>
        <w:widowControl w:val="0"/>
        <w:numPr>
          <w:ilvl w:val="0"/>
          <w:numId w:val="23"/>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绿篱、色块、造型苗木，在种植后应按设计高度整形修剪。</w:t>
      </w:r>
    </w:p>
    <w:p w14:paraId="773EAC93">
      <w:pPr>
        <w:keepNext w:val="0"/>
        <w:keepLines w:val="0"/>
        <w:pageBreakBefore w:val="0"/>
        <w:widowControl w:val="0"/>
        <w:numPr>
          <w:ilvl w:val="0"/>
          <w:numId w:val="23"/>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藤本类苗木应剪除枯死枝、病虫枝、过长枝。</w:t>
      </w:r>
    </w:p>
    <w:p w14:paraId="47D68B52">
      <w:pPr>
        <w:numPr>
          <w:ilvl w:val="0"/>
          <w:numId w:val="22"/>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苗木修剪应符合下列规定：</w:t>
      </w:r>
    </w:p>
    <w:p w14:paraId="38F3B642">
      <w:pPr>
        <w:keepNext w:val="0"/>
        <w:keepLines w:val="0"/>
        <w:pageBreakBefore w:val="0"/>
        <w:widowControl w:val="0"/>
        <w:numPr>
          <w:ilvl w:val="0"/>
          <w:numId w:val="24"/>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苗木修剪整形应符合设计要求，当无要求时，修剪整形应保持原树形。</w:t>
      </w:r>
    </w:p>
    <w:p w14:paraId="30430F1C">
      <w:pPr>
        <w:keepNext w:val="0"/>
        <w:keepLines w:val="0"/>
        <w:pageBreakBefore w:val="0"/>
        <w:widowControl w:val="0"/>
        <w:numPr>
          <w:ilvl w:val="0"/>
          <w:numId w:val="24"/>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苗木应无损伤断枝、枯枝、严重病虫枝等。</w:t>
      </w:r>
    </w:p>
    <w:p w14:paraId="23732598">
      <w:pPr>
        <w:keepNext w:val="0"/>
        <w:keepLines w:val="0"/>
        <w:pageBreakBefore w:val="0"/>
        <w:widowControl w:val="0"/>
        <w:numPr>
          <w:ilvl w:val="0"/>
          <w:numId w:val="24"/>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落叶树木的枝条应从基部剪除，不留木橛，剪口平滑，不得劈裂。</w:t>
      </w:r>
    </w:p>
    <w:p w14:paraId="3719FB2B">
      <w:pPr>
        <w:keepNext w:val="0"/>
        <w:keepLines w:val="0"/>
        <w:pageBreakBefore w:val="0"/>
        <w:widowControl w:val="0"/>
        <w:numPr>
          <w:ilvl w:val="0"/>
          <w:numId w:val="24"/>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枝条短截时应留外芽，剪口应距留芽位置上方0.5cm。</w:t>
      </w:r>
    </w:p>
    <w:p w14:paraId="67408A2F">
      <w:pPr>
        <w:keepNext w:val="0"/>
        <w:keepLines w:val="0"/>
        <w:pageBreakBefore w:val="0"/>
        <w:widowControl w:val="0"/>
        <w:numPr>
          <w:ilvl w:val="0"/>
          <w:numId w:val="24"/>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修剪直径2cm以上大枝及粗根时，截口应肖平应涂防腐剂。</w:t>
      </w:r>
    </w:p>
    <w:p w14:paraId="3033AD3A">
      <w:pPr>
        <w:numPr>
          <w:ilvl w:val="0"/>
          <w:numId w:val="22"/>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非栽植季节栽植落叶树木，应根据不同树种的特性，保持树型，宜适当增加修剪量，可剪去枝条的1/2~1/3。</w:t>
      </w:r>
    </w:p>
    <w:p w14:paraId="3421DBA3">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（5）树木栽植</w:t>
      </w:r>
    </w:p>
    <w:p w14:paraId="5736FD92">
      <w:pPr>
        <w:numPr>
          <w:ilvl w:val="0"/>
          <w:numId w:val="25"/>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树木栽植应符合下列规定：</w:t>
      </w:r>
    </w:p>
    <w:p w14:paraId="0AB5D921">
      <w:pPr>
        <w:keepNext w:val="0"/>
        <w:keepLines w:val="0"/>
        <w:pageBreakBefore w:val="0"/>
        <w:widowControl w:val="0"/>
        <w:numPr>
          <w:ilvl w:val="0"/>
          <w:numId w:val="26"/>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树木栽植应根据树木品种的习性和当地气候条件，选择最适宜的栽植期进行栽植。</w:t>
      </w:r>
    </w:p>
    <w:p w14:paraId="307CB3A5">
      <w:pPr>
        <w:keepNext w:val="0"/>
        <w:keepLines w:val="0"/>
        <w:pageBreakBefore w:val="0"/>
        <w:widowControl w:val="0"/>
        <w:numPr>
          <w:ilvl w:val="0"/>
          <w:numId w:val="26"/>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栽植的树木品种、规格、位置应符合设计规定。</w:t>
      </w:r>
    </w:p>
    <w:p w14:paraId="320ACE48">
      <w:pPr>
        <w:keepNext w:val="0"/>
        <w:keepLines w:val="0"/>
        <w:pageBreakBefore w:val="0"/>
        <w:widowControl w:val="0"/>
        <w:numPr>
          <w:ilvl w:val="0"/>
          <w:numId w:val="26"/>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带土球树木栽植前应去除土球不易降解的包装物。</w:t>
      </w:r>
    </w:p>
    <w:p w14:paraId="5EE0D621">
      <w:pPr>
        <w:keepNext w:val="0"/>
        <w:keepLines w:val="0"/>
        <w:pageBreakBefore w:val="0"/>
        <w:widowControl w:val="0"/>
        <w:numPr>
          <w:ilvl w:val="0"/>
          <w:numId w:val="26"/>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栽植时应注意观赏面的合理朝向，树木栽植深度应与原种植线持平。</w:t>
      </w:r>
    </w:p>
    <w:p w14:paraId="7B2E9EF7">
      <w:pPr>
        <w:keepNext w:val="0"/>
        <w:keepLines w:val="0"/>
        <w:pageBreakBefore w:val="0"/>
        <w:widowControl w:val="0"/>
        <w:numPr>
          <w:ilvl w:val="0"/>
          <w:numId w:val="26"/>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栽植树木回填的栽植土应分层踏实。</w:t>
      </w:r>
    </w:p>
    <w:p w14:paraId="77B43C85">
      <w:pPr>
        <w:keepNext w:val="0"/>
        <w:keepLines w:val="0"/>
        <w:pageBreakBefore w:val="0"/>
        <w:widowControl w:val="0"/>
        <w:numPr>
          <w:ilvl w:val="0"/>
          <w:numId w:val="26"/>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除特殊景观树外，树木栽植应保持直立，不得倾斜。</w:t>
      </w:r>
    </w:p>
    <w:p w14:paraId="7C7FF641">
      <w:pPr>
        <w:keepNext w:val="0"/>
        <w:keepLines w:val="0"/>
        <w:pageBreakBefore w:val="0"/>
        <w:widowControl w:val="0"/>
        <w:numPr>
          <w:ilvl w:val="0"/>
          <w:numId w:val="26"/>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行道树或行列栽植的树木应在一条线上，相邻植株规格应合理搭配。</w:t>
      </w:r>
    </w:p>
    <w:p w14:paraId="0556BB14">
      <w:pPr>
        <w:keepNext w:val="0"/>
        <w:keepLines w:val="0"/>
        <w:pageBreakBefore w:val="0"/>
        <w:widowControl w:val="0"/>
        <w:numPr>
          <w:ilvl w:val="0"/>
          <w:numId w:val="26"/>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绿篱及色块栽植时，株行距、苗木高度、冠幅大小应均匀搭配，树形丰满的一面应向外。</w:t>
      </w:r>
    </w:p>
    <w:p w14:paraId="555ED330">
      <w:pPr>
        <w:keepNext w:val="0"/>
        <w:keepLines w:val="0"/>
        <w:pageBreakBefore w:val="0"/>
        <w:widowControl w:val="0"/>
        <w:numPr>
          <w:ilvl w:val="0"/>
          <w:numId w:val="26"/>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树木栽植后应及时绑扎、支撑、浇透水。</w:t>
      </w:r>
    </w:p>
    <w:p w14:paraId="0A0A7435">
      <w:pPr>
        <w:keepNext w:val="0"/>
        <w:keepLines w:val="0"/>
        <w:pageBreakBefore w:val="0"/>
        <w:widowControl w:val="0"/>
        <w:numPr>
          <w:ilvl w:val="0"/>
          <w:numId w:val="26"/>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树木栽植成活率不应低于95%；名贵树木栽植成活率应达100%。</w:t>
      </w:r>
    </w:p>
    <w:p w14:paraId="4CA5DAD9">
      <w:pPr>
        <w:numPr>
          <w:ilvl w:val="0"/>
          <w:numId w:val="25"/>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树木浇灌水应符合下列规定：</w:t>
      </w:r>
    </w:p>
    <w:p w14:paraId="6FA16D63">
      <w:pPr>
        <w:keepNext w:val="0"/>
        <w:keepLines w:val="0"/>
        <w:pageBreakBefore w:val="0"/>
        <w:widowControl w:val="0"/>
        <w:numPr>
          <w:ilvl w:val="0"/>
          <w:numId w:val="27"/>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树木栽植后应在栽植穴直径周围筑高10cm~20cm围堰，堰应筑实。</w:t>
      </w:r>
    </w:p>
    <w:p w14:paraId="6B595369">
      <w:pPr>
        <w:keepNext w:val="0"/>
        <w:keepLines w:val="0"/>
        <w:pageBreakBefore w:val="0"/>
        <w:widowControl w:val="0"/>
        <w:numPr>
          <w:ilvl w:val="0"/>
          <w:numId w:val="27"/>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浇灌树木水质应符合现行国家标准《农田灌溉水质标准》GB5084的规定。</w:t>
      </w:r>
    </w:p>
    <w:p w14:paraId="6F28DBD1">
      <w:pPr>
        <w:keepNext w:val="0"/>
        <w:keepLines w:val="0"/>
        <w:pageBreakBefore w:val="0"/>
        <w:widowControl w:val="0"/>
        <w:numPr>
          <w:ilvl w:val="0"/>
          <w:numId w:val="27"/>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浇水时应在穴中放置缓冲垫。</w:t>
      </w:r>
    </w:p>
    <w:p w14:paraId="01765665">
      <w:pPr>
        <w:keepNext w:val="0"/>
        <w:keepLines w:val="0"/>
        <w:pageBreakBefore w:val="0"/>
        <w:widowControl w:val="0"/>
        <w:numPr>
          <w:ilvl w:val="0"/>
          <w:numId w:val="27"/>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每次浇灌水量应满足植物成活及需要。</w:t>
      </w:r>
    </w:p>
    <w:p w14:paraId="791E6CDB">
      <w:pPr>
        <w:keepNext w:val="0"/>
        <w:keepLines w:val="0"/>
        <w:pageBreakBefore w:val="0"/>
        <w:widowControl w:val="0"/>
        <w:numPr>
          <w:ilvl w:val="0"/>
          <w:numId w:val="27"/>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新栽树木应在浇透水后及时封堰，以后根据当地情况及时补水。</w:t>
      </w:r>
    </w:p>
    <w:p w14:paraId="0F497E4B">
      <w:pPr>
        <w:keepNext w:val="0"/>
        <w:keepLines w:val="0"/>
        <w:pageBreakBefore w:val="0"/>
        <w:widowControl w:val="0"/>
        <w:numPr>
          <w:ilvl w:val="0"/>
          <w:numId w:val="27"/>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sz w:val="24"/>
          <w:highlight w:val="none"/>
          <w:lang w:eastAsia="zh-CN"/>
        </w:rPr>
      </w:pPr>
      <w:r>
        <w:rPr>
          <w:rFonts w:hint="eastAsia" w:ascii="仿宋" w:hAnsi="仿宋" w:eastAsia="仿宋" w:cs="仿宋"/>
          <w:color w:val="auto"/>
          <w:highlight w:val="none"/>
          <w:lang w:val="en-US" w:eastAsia="zh-CN"/>
        </w:rPr>
        <w:t>对浇水后出现树木倾斜，应及时扶正，并加以固定。</w:t>
      </w:r>
    </w:p>
    <w:p w14:paraId="78880132">
      <w:pPr>
        <w:ind w:left="0" w:leftChars="0" w:firstLine="0" w:firstLineChars="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（6）植后养护</w:t>
      </w:r>
    </w:p>
    <w:p w14:paraId="50F628C4">
      <w:pPr>
        <w:numPr>
          <w:ilvl w:val="0"/>
          <w:numId w:val="28"/>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反季节栽植需做好栽植保护措施，尽量避免反季节栽植带来的损失。</w:t>
      </w:r>
    </w:p>
    <w:p w14:paraId="5AB7705A">
      <w:pPr>
        <w:numPr>
          <w:ilvl w:val="0"/>
          <w:numId w:val="28"/>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由于现场地形的变化和多样性，植物栽植量与植物表中的数量有差额，应以现场实际用量为准，植物表中的灌木每平方米栽植株数为参考量，应以现场实际情况为准。</w:t>
      </w:r>
    </w:p>
    <w:p w14:paraId="57F70093">
      <w:pPr>
        <w:numPr>
          <w:ilvl w:val="0"/>
          <w:numId w:val="28"/>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植物栽植应在植物施工图的基本要求和原则下，灵活变化，根据实际情况(栽植季节影响，货源问题，场地变化等)做出相应调整，以达到最佳观赏效果。</w:t>
      </w:r>
    </w:p>
    <w:p w14:paraId="13C75B74">
      <w:pPr>
        <w:numPr>
          <w:ilvl w:val="0"/>
          <w:numId w:val="28"/>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本设计仅为景观设计，不含结构和排水设计，内容以相关专业设计单位为准。</w:t>
      </w:r>
    </w:p>
    <w:p w14:paraId="28D8AB4C">
      <w:pPr>
        <w:numPr>
          <w:ilvl w:val="0"/>
          <w:numId w:val="28"/>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养护措施</w:t>
      </w:r>
    </w:p>
    <w:p w14:paraId="4B999F46">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为了保证苗木的正常生长发育、提高苗木成活率，达到预期植物景观效果，我们拟采取如下综合的养护措施：</w:t>
      </w:r>
    </w:p>
    <w:p w14:paraId="4D6A1A04">
      <w:pPr>
        <w:keepNext w:val="0"/>
        <w:keepLines w:val="0"/>
        <w:pageBreakBefore w:val="0"/>
        <w:widowControl w:val="0"/>
        <w:numPr>
          <w:ilvl w:val="0"/>
          <w:numId w:val="29"/>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施肥、浇水</w:t>
      </w:r>
    </w:p>
    <w:p w14:paraId="2CC073BB">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灌溉时间视天气变化进行控制，夏季六月份前（最高气温300），每天早晚喷雾4小时，从上午10时半至下午3时这段时间内停止喷水。如久干无雨，土壤干燥则浇水灌溉，时间宜在早晨或傍晚进行。施肥是促进苗木生长健壮的有效手段，施肥须在植物根系损伤恢复并开始生长后进行（苗木种植后约6个月），一般施肥用尿素、复合肥等根肥。对灌木也可追施叶面肥。</w:t>
      </w:r>
    </w:p>
    <w:p w14:paraId="23DD60FC">
      <w:pPr>
        <w:keepNext w:val="0"/>
        <w:keepLines w:val="0"/>
        <w:pageBreakBefore w:val="0"/>
        <w:widowControl w:val="0"/>
        <w:numPr>
          <w:ilvl w:val="0"/>
          <w:numId w:val="29"/>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病虫害防治</w:t>
      </w:r>
    </w:p>
    <w:p w14:paraId="06424F9A">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园林植物病虫害防治，应采用生物防治方法和生物农药及高效低毒农药。</w:t>
      </w:r>
    </w:p>
    <w:p w14:paraId="56653BA7">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防治重点是大树和色叶小灌木，因大树经过移植，根系、树枝等到受到严重伤害，自然恢复期较长，抗病虫害功能下降，因此必须密切注意对大树观察，一旦出现病虫害，立即采取相应措施，控制病虫害蔓延。</w:t>
      </w:r>
    </w:p>
    <w:p w14:paraId="596097F7">
      <w:pPr>
        <w:keepNext w:val="0"/>
        <w:keepLines w:val="0"/>
        <w:pageBreakBefore w:val="0"/>
        <w:widowControl w:val="0"/>
        <w:numPr>
          <w:ilvl w:val="0"/>
          <w:numId w:val="29"/>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苗木补缺</w:t>
      </w:r>
    </w:p>
    <w:p w14:paraId="403F2D05">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对死亡苗木进行清除，并在原有位置补种新的植株；对于人为破坏的缺空处也在适当的时机进行补种，使整体的绿化面貌饱满整齐。</w:t>
      </w:r>
    </w:p>
    <w:p w14:paraId="159F78C3">
      <w:pPr>
        <w:keepNext w:val="0"/>
        <w:keepLines w:val="0"/>
        <w:pageBreakBefore w:val="0"/>
        <w:widowControl w:val="0"/>
        <w:numPr>
          <w:ilvl w:val="0"/>
          <w:numId w:val="29"/>
        </w:numPr>
        <w:kinsoku/>
        <w:wordWrap/>
        <w:overflowPunct/>
        <w:topLinePunct w:val="0"/>
        <w:autoSpaceDE/>
        <w:autoSpaceDN/>
        <w:bidi w:val="0"/>
        <w:adjustRightInd w:val="0"/>
        <w:snapToGrid w:val="0"/>
        <w:ind w:left="0" w:leftChars="0" w:firstLine="425" w:firstLineChars="0"/>
        <w:textAlignment w:val="auto"/>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地形整形</w:t>
      </w:r>
    </w:p>
    <w:p w14:paraId="04CF9300">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对土壤沉降、不平整部分进行整平、加土、及时撒入种植土进行地形修复。</w:t>
      </w:r>
    </w:p>
    <w:p w14:paraId="05BB2768">
      <w:pPr>
        <w:numPr>
          <w:ilvl w:val="0"/>
          <w:numId w:val="28"/>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养护期限为两年。</w:t>
      </w:r>
    </w:p>
    <w:p w14:paraId="65938608">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（7）其他事项</w:t>
      </w:r>
    </w:p>
    <w:p w14:paraId="71B90AFB">
      <w:pPr>
        <w:numPr>
          <w:ilvl w:val="0"/>
          <w:numId w:val="30"/>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施工中发现问题或业主提出修改，应及时通知设计人员，共同协调。</w:t>
      </w:r>
    </w:p>
    <w:p w14:paraId="65892342">
      <w:pPr>
        <w:numPr>
          <w:ilvl w:val="0"/>
          <w:numId w:val="30"/>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图纸中有不明之处，请及时与设计人员联络。</w:t>
      </w:r>
    </w:p>
    <w:p w14:paraId="4B8FFDA7">
      <w:pPr>
        <w:numPr>
          <w:ilvl w:val="0"/>
          <w:numId w:val="30"/>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图纸中施工做法与工程所在地习惯做法不同时，经与设计师共同研究后，可按当地习惯做法进行施工。</w:t>
      </w:r>
    </w:p>
    <w:p w14:paraId="18BB606B">
      <w:pPr>
        <w:numPr>
          <w:ilvl w:val="0"/>
          <w:numId w:val="30"/>
        </w:numPr>
        <w:ind w:left="0" w:leftChars="0"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本说明未尽事宜，请按照有关设计及施工规程、规范执行。</w:t>
      </w:r>
    </w:p>
    <w:p w14:paraId="732F54E4">
      <w:pPr>
        <w:keepNext/>
        <w:keepLines/>
        <w:pageBreakBefore w:val="0"/>
        <w:widowControl w:val="0"/>
        <w:numPr>
          <w:ilvl w:val="0"/>
          <w:numId w:val="0"/>
        </w:numPr>
        <w:kinsoku/>
        <w:wordWrap/>
        <w:overflowPunct/>
        <w:topLinePunct w:val="0"/>
        <w:autoSpaceDE/>
        <w:autoSpaceDN/>
        <w:bidi w:val="0"/>
        <w:adjustRightInd/>
        <w:snapToGrid/>
        <w:spacing w:line="360" w:lineRule="auto"/>
        <w:ind w:leftChars="0"/>
        <w:jc w:val="left"/>
        <w:textAlignment w:val="auto"/>
        <w:outlineLvl w:val="1"/>
        <w:rPr>
          <w:rFonts w:hint="default" w:ascii="仿宋" w:hAnsi="仿宋" w:eastAsia="仿宋" w:cs="仿宋"/>
          <w:b/>
          <w:bCs/>
          <w:color w:val="auto"/>
          <w:sz w:val="28"/>
          <w:szCs w:val="28"/>
          <w:highlight w:val="none"/>
          <w:lang w:val="en-US" w:eastAsia="zh-CN"/>
        </w:rPr>
      </w:pPr>
      <w:r>
        <w:rPr>
          <w:rFonts w:hint="eastAsia" w:ascii="仿宋" w:hAnsi="仿宋" w:eastAsia="仿宋" w:cs="仿宋"/>
          <w:b/>
          <w:bCs/>
          <w:color w:val="auto"/>
          <w:sz w:val="28"/>
          <w:szCs w:val="28"/>
          <w:highlight w:val="none"/>
          <w:lang w:val="en-US" w:eastAsia="zh-CN"/>
        </w:rPr>
        <w:t>5.3地下管网修复提升</w:t>
      </w:r>
    </w:p>
    <w:p w14:paraId="7DA25342">
      <w:pPr>
        <w:keepNext w:val="0"/>
        <w:keepLines w:val="0"/>
        <w:pageBreakBefore w:val="0"/>
        <w:widowControl w:val="0"/>
        <w:numPr>
          <w:ilvl w:val="0"/>
          <w:numId w:val="0"/>
        </w:numPr>
        <w:kinsoku/>
        <w:wordWrap/>
        <w:overflowPunct/>
        <w:topLinePunct w:val="0"/>
        <w:autoSpaceDE/>
        <w:autoSpaceDN/>
        <w:bidi w:val="0"/>
        <w:adjustRightInd/>
        <w:snapToGrid/>
        <w:jc w:val="left"/>
        <w:textAlignment w:val="auto"/>
        <w:outlineLvl w:val="2"/>
        <w:rPr>
          <w:rFonts w:hint="eastAsia" w:ascii="仿宋" w:hAnsi="仿宋" w:eastAsia="仿宋" w:cs="仿宋"/>
          <w:color w:val="auto"/>
          <w:sz w:val="28"/>
          <w:szCs w:val="28"/>
          <w:highlight w:val="none"/>
          <w:lang w:val="en-US" w:eastAsia="zh-CN"/>
        </w:rPr>
      </w:pPr>
      <w:r>
        <w:rPr>
          <w:rFonts w:hint="eastAsia" w:ascii="仿宋" w:hAnsi="仿宋" w:eastAsia="仿宋" w:cs="仿宋"/>
          <w:b/>
          <w:bCs/>
          <w:color w:val="auto"/>
          <w:sz w:val="28"/>
          <w:szCs w:val="28"/>
          <w:highlight w:val="none"/>
          <w:lang w:val="en-US" w:eastAsia="zh-CN"/>
        </w:rPr>
        <w:t>5.3.1井盖更换</w:t>
      </w:r>
    </w:p>
    <w:p w14:paraId="36451079">
      <w:pPr>
        <w:widowControl/>
        <w:spacing w:line="360" w:lineRule="auto"/>
        <w:ind w:firstLine="560" w:firstLineChars="200"/>
        <w:jc w:val="left"/>
        <w:rPr>
          <w:rFonts w:hint="eastAsia" w:ascii="仿宋" w:hAnsi="仿宋" w:eastAsia="仿宋" w:cs="仿宋"/>
          <w:color w:val="auto"/>
          <w:sz w:val="28"/>
          <w:szCs w:val="28"/>
          <w:highlight w:val="none"/>
          <w:lang w:val="zh-CN"/>
        </w:rPr>
      </w:pPr>
      <w:r>
        <w:rPr>
          <w:rFonts w:hint="eastAsia" w:ascii="仿宋" w:hAnsi="仿宋" w:eastAsia="仿宋" w:cs="仿宋"/>
          <w:color w:val="auto"/>
          <w:sz w:val="28"/>
          <w:szCs w:val="28"/>
          <w:highlight w:val="none"/>
          <w:lang w:val="zh-CN"/>
        </w:rPr>
        <w:t>本次改造范围内所有布置于人行</w:t>
      </w:r>
      <w:r>
        <w:rPr>
          <w:rFonts w:hint="eastAsia" w:ascii="仿宋" w:hAnsi="仿宋" w:eastAsia="仿宋" w:cs="仿宋"/>
          <w:color w:val="auto"/>
          <w:sz w:val="28"/>
          <w:szCs w:val="28"/>
          <w:highlight w:val="none"/>
        </w:rPr>
        <w:t>道</w:t>
      </w:r>
      <w:r>
        <w:rPr>
          <w:rFonts w:hint="eastAsia" w:ascii="仿宋" w:hAnsi="仿宋" w:eastAsia="仿宋" w:cs="仿宋"/>
          <w:color w:val="auto"/>
          <w:sz w:val="28"/>
          <w:szCs w:val="28"/>
          <w:highlight w:val="none"/>
          <w:lang w:val="zh-CN"/>
        </w:rPr>
        <w:t>上</w:t>
      </w:r>
      <w:r>
        <w:rPr>
          <w:rFonts w:hint="eastAsia" w:ascii="仿宋" w:hAnsi="仿宋" w:eastAsia="仿宋" w:cs="仿宋"/>
          <w:color w:val="auto"/>
          <w:sz w:val="28"/>
          <w:szCs w:val="28"/>
          <w:highlight w:val="none"/>
        </w:rPr>
        <w:t>的雨、污水复合材料井盖及井座</w:t>
      </w:r>
      <w:r>
        <w:rPr>
          <w:rFonts w:hint="eastAsia" w:ascii="仿宋" w:hAnsi="仿宋" w:eastAsia="仿宋" w:cs="仿宋"/>
          <w:color w:val="auto"/>
          <w:sz w:val="28"/>
          <w:szCs w:val="28"/>
          <w:highlight w:val="none"/>
          <w:lang w:val="zh-CN"/>
        </w:rPr>
        <w:t>更换为</w:t>
      </w:r>
      <w:r>
        <w:rPr>
          <w:rFonts w:hint="eastAsia" w:ascii="仿宋" w:hAnsi="仿宋" w:eastAsia="仿宋" w:cs="仿宋"/>
          <w:color w:val="auto"/>
          <w:sz w:val="28"/>
          <w:szCs w:val="28"/>
          <w:highlight w:val="none"/>
        </w:rPr>
        <w:t>成品球墨铸铁井盖及井座；同时更换或修复现状破损雨、污水井盖。并</w:t>
      </w:r>
      <w:r>
        <w:rPr>
          <w:rFonts w:hint="eastAsia" w:ascii="仿宋" w:hAnsi="仿宋" w:eastAsia="仿宋" w:cs="仿宋"/>
          <w:color w:val="auto"/>
          <w:sz w:val="28"/>
          <w:szCs w:val="28"/>
          <w:highlight w:val="none"/>
          <w:lang w:val="zh-CN"/>
        </w:rPr>
        <w:t>对现状破损的检查井分情况进行井筒、井身重建。</w:t>
      </w:r>
    </w:p>
    <w:p w14:paraId="3D5EB7E7">
      <w:pPr>
        <w:keepNext w:val="0"/>
        <w:keepLines w:val="0"/>
        <w:pageBreakBefore w:val="0"/>
        <w:widowControl w:val="0"/>
        <w:numPr>
          <w:ilvl w:val="0"/>
          <w:numId w:val="0"/>
        </w:numPr>
        <w:kinsoku/>
        <w:wordWrap/>
        <w:overflowPunct/>
        <w:topLinePunct w:val="0"/>
        <w:autoSpaceDE/>
        <w:autoSpaceDN/>
        <w:bidi w:val="0"/>
        <w:adjustRightInd w:val="0"/>
        <w:snapToGrid w:val="0"/>
        <w:ind w:leftChars="0" w:firstLine="560" w:firstLineChars="200"/>
        <w:textAlignment w:val="auto"/>
        <w:rPr>
          <w:rFonts w:hint="eastAsia" w:ascii="仿宋" w:hAnsi="仿宋" w:eastAsia="仿宋" w:cs="仿宋"/>
          <w:color w:val="auto"/>
          <w:sz w:val="28"/>
          <w:szCs w:val="28"/>
          <w:highlight w:val="none"/>
          <w:lang w:val="zh-CN"/>
        </w:rPr>
      </w:pPr>
      <w:r>
        <w:rPr>
          <w:rFonts w:hint="eastAsia" w:ascii="仿宋" w:hAnsi="仿宋" w:eastAsia="仿宋" w:cs="仿宋"/>
          <w:color w:val="auto"/>
          <w:sz w:val="28"/>
          <w:szCs w:val="28"/>
          <w:highlight w:val="none"/>
          <w:lang w:val="zh-CN"/>
        </w:rPr>
        <w:t>根据《重庆市城市道路品质提升技术指南》（重庆市城市管理局，2019年5月）：检查井统一采用具有“防响、防滑、防位移、防坠落、防盗”功能的“五防”</w:t>
      </w:r>
      <w:r>
        <w:rPr>
          <w:rFonts w:hint="eastAsia" w:ascii="仿宋" w:hAnsi="仿宋" w:eastAsia="仿宋" w:cs="仿宋"/>
          <w:color w:val="auto"/>
          <w:sz w:val="28"/>
          <w:szCs w:val="28"/>
          <w:highlight w:val="none"/>
        </w:rPr>
        <w:t>球墨</w:t>
      </w:r>
      <w:r>
        <w:rPr>
          <w:rFonts w:hint="eastAsia" w:ascii="仿宋" w:hAnsi="仿宋" w:eastAsia="仿宋" w:cs="仿宋"/>
          <w:color w:val="auto"/>
          <w:sz w:val="28"/>
          <w:szCs w:val="28"/>
          <w:highlight w:val="none"/>
          <w:lang w:val="zh-CN"/>
        </w:rPr>
        <w:t>铸铁井盖及盖座。按其承载能力，人行道上最低选用</w:t>
      </w:r>
      <w:r>
        <w:rPr>
          <w:rFonts w:hint="eastAsia" w:ascii="仿宋" w:hAnsi="仿宋" w:eastAsia="仿宋" w:cs="仿宋"/>
          <w:color w:val="auto"/>
          <w:sz w:val="28"/>
          <w:szCs w:val="28"/>
          <w:highlight w:val="none"/>
        </w:rPr>
        <w:t>C250</w:t>
      </w:r>
      <w:r>
        <w:rPr>
          <w:rFonts w:hint="eastAsia" w:ascii="仿宋" w:hAnsi="仿宋" w:eastAsia="仿宋" w:cs="仿宋"/>
          <w:color w:val="auto"/>
          <w:sz w:val="28"/>
          <w:szCs w:val="28"/>
          <w:highlight w:val="none"/>
          <w:lang w:val="zh-CN"/>
        </w:rPr>
        <w:t>类型，</w:t>
      </w:r>
      <w:r>
        <w:rPr>
          <w:rFonts w:hint="eastAsia" w:ascii="仿宋" w:hAnsi="仿宋" w:eastAsia="仿宋" w:cs="仿宋"/>
          <w:color w:val="auto"/>
          <w:sz w:val="28"/>
          <w:szCs w:val="28"/>
          <w:highlight w:val="none"/>
          <w:lang w:val="en-US" w:eastAsia="zh-CN"/>
        </w:rPr>
        <w:t>车</w:t>
      </w:r>
      <w:r>
        <w:rPr>
          <w:rFonts w:hint="eastAsia" w:ascii="仿宋" w:hAnsi="仿宋" w:eastAsia="仿宋" w:cs="仿宋"/>
          <w:color w:val="auto"/>
          <w:sz w:val="28"/>
          <w:szCs w:val="28"/>
          <w:highlight w:val="none"/>
          <w:lang w:val="zh-CN"/>
        </w:rPr>
        <w:t>行道上最低选用</w:t>
      </w:r>
      <w:r>
        <w:rPr>
          <w:rFonts w:hint="eastAsia" w:ascii="仿宋" w:hAnsi="仿宋" w:eastAsia="仿宋" w:cs="仿宋"/>
          <w:color w:val="auto"/>
          <w:sz w:val="28"/>
          <w:szCs w:val="28"/>
          <w:highlight w:val="none"/>
          <w:lang w:val="en-US" w:eastAsia="zh-CN"/>
        </w:rPr>
        <w:t>E600</w:t>
      </w:r>
      <w:r>
        <w:rPr>
          <w:rFonts w:hint="eastAsia" w:ascii="仿宋" w:hAnsi="仿宋" w:eastAsia="仿宋" w:cs="仿宋"/>
          <w:color w:val="auto"/>
          <w:sz w:val="28"/>
          <w:szCs w:val="28"/>
          <w:highlight w:val="none"/>
          <w:lang w:val="zh-CN"/>
        </w:rPr>
        <w:t>类型，井座采用圆形，井盖采用圆形。所选</w:t>
      </w:r>
      <w:r>
        <w:rPr>
          <w:rFonts w:hint="eastAsia" w:ascii="仿宋" w:hAnsi="仿宋" w:eastAsia="仿宋" w:cs="仿宋"/>
          <w:color w:val="auto"/>
          <w:sz w:val="28"/>
          <w:szCs w:val="28"/>
          <w:highlight w:val="none"/>
        </w:rPr>
        <w:t>球墨铸铁井盖的规格、质量要求按照《检查井盖》（GB/T23858-2009）执行，做法参照97S501-1。</w:t>
      </w:r>
      <w:r>
        <w:rPr>
          <w:rFonts w:hint="eastAsia" w:ascii="仿宋" w:hAnsi="仿宋" w:eastAsia="仿宋" w:cs="仿宋"/>
          <w:color w:val="auto"/>
          <w:sz w:val="28"/>
          <w:szCs w:val="28"/>
          <w:highlight w:val="none"/>
          <w:lang w:val="zh-CN"/>
        </w:rPr>
        <w:t>井盖应当明确标示管线种类，雨水盖座上应有“雨水”类型标识，污水盖座上应有“污水”类型标识，不得混用。</w:t>
      </w:r>
    </w:p>
    <w:p w14:paraId="2CBBDECF">
      <w:pPr>
        <w:keepNext w:val="0"/>
        <w:keepLines w:val="0"/>
        <w:pageBreakBefore w:val="0"/>
        <w:widowControl w:val="0"/>
        <w:kinsoku/>
        <w:wordWrap/>
        <w:overflowPunct/>
        <w:topLinePunct w:val="0"/>
        <w:autoSpaceDE/>
        <w:autoSpaceDN/>
        <w:bidi w:val="0"/>
        <w:adjustRightInd w:val="0"/>
        <w:snapToGrid w:val="0"/>
        <w:spacing w:before="0" w:beforeLines="0"/>
        <w:jc w:val="center"/>
        <w:textAlignment w:val="auto"/>
        <w:outlineLvl w:val="9"/>
        <w:rPr>
          <w:rFonts w:hint="eastAsia" w:ascii="宋体" w:hAnsi="宋体" w:cs="宋体"/>
          <w:color w:val="auto"/>
          <w:sz w:val="28"/>
          <w:szCs w:val="28"/>
          <w:highlight w:val="none"/>
        </w:rPr>
      </w:pPr>
      <w:r>
        <w:rPr>
          <w:rFonts w:hint="eastAsia" w:ascii="宋体" w:hAnsi="宋体" w:cs="宋体"/>
          <w:color w:val="auto"/>
          <w:sz w:val="28"/>
          <w:szCs w:val="28"/>
          <w:highlight w:val="none"/>
        </w:rPr>
        <w:drawing>
          <wp:inline distT="0" distB="0" distL="114300" distR="114300">
            <wp:extent cx="5314315" cy="2494280"/>
            <wp:effectExtent l="0" t="0" r="635" b="127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39"/>
                    <a:stretch>
                      <a:fillRect/>
                    </a:stretch>
                  </pic:blipFill>
                  <pic:spPr>
                    <a:xfrm>
                      <a:off x="0" y="0"/>
                      <a:ext cx="5314315" cy="2494280"/>
                    </a:xfrm>
                    <a:prstGeom prst="rect">
                      <a:avLst/>
                    </a:prstGeom>
                    <a:noFill/>
                    <a:ln>
                      <a:noFill/>
                    </a:ln>
                  </pic:spPr>
                </pic:pic>
              </a:graphicData>
            </a:graphic>
          </wp:inline>
        </w:drawing>
      </w:r>
    </w:p>
    <w:p w14:paraId="34A89AE3">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仿宋" w:hAnsi="仿宋" w:eastAsia="仿宋" w:cs="仿宋"/>
          <w:b/>
          <w:bCs/>
          <w:color w:val="auto"/>
          <w:sz w:val="28"/>
          <w:szCs w:val="28"/>
          <w:highlight w:val="none"/>
          <w:lang w:val="en-US" w:eastAsia="zh-CN"/>
        </w:rPr>
      </w:pPr>
      <w:r>
        <w:rPr>
          <w:rFonts w:hint="eastAsia" w:ascii="仿宋" w:hAnsi="仿宋" w:eastAsia="仿宋" w:cs="仿宋"/>
          <w:b/>
          <w:bCs/>
          <w:color w:val="auto"/>
          <w:sz w:val="28"/>
          <w:szCs w:val="28"/>
          <w:highlight w:val="none"/>
          <w:lang w:val="en-US" w:eastAsia="zh-CN"/>
        </w:rPr>
        <w:t>井盖示意图</w:t>
      </w:r>
    </w:p>
    <w:p w14:paraId="56C4720F">
      <w:pPr>
        <w:keepNext w:val="0"/>
        <w:keepLines w:val="0"/>
        <w:pageBreakBefore w:val="0"/>
        <w:widowControl w:val="0"/>
        <w:numPr>
          <w:ilvl w:val="0"/>
          <w:numId w:val="0"/>
        </w:numPr>
        <w:kinsoku/>
        <w:wordWrap/>
        <w:overflowPunct/>
        <w:topLinePunct w:val="0"/>
        <w:autoSpaceDE/>
        <w:autoSpaceDN/>
        <w:bidi w:val="0"/>
        <w:adjustRightInd w:val="0"/>
        <w:snapToGrid w:val="0"/>
        <w:textAlignment w:val="auto"/>
        <w:outlineLvl w:val="2"/>
        <w:rPr>
          <w:rFonts w:hint="eastAsia" w:ascii="仿宋" w:hAnsi="仿宋" w:eastAsia="仿宋" w:cs="仿宋"/>
          <w:color w:val="auto"/>
          <w:sz w:val="28"/>
          <w:szCs w:val="28"/>
          <w:highlight w:val="none"/>
          <w:lang w:val="en-US" w:eastAsia="zh-CN"/>
        </w:rPr>
      </w:pPr>
      <w:r>
        <w:rPr>
          <w:rFonts w:hint="eastAsia" w:ascii="仿宋" w:hAnsi="仿宋" w:eastAsia="仿宋" w:cs="仿宋"/>
          <w:b/>
          <w:bCs/>
          <w:color w:val="auto"/>
          <w:sz w:val="28"/>
          <w:szCs w:val="28"/>
          <w:highlight w:val="none"/>
          <w:lang w:val="en-US" w:eastAsia="zh-CN"/>
        </w:rPr>
        <w:t>5.3.2防坠网更换</w:t>
      </w:r>
    </w:p>
    <w:p w14:paraId="2D0BBE9F">
      <w:pPr>
        <w:keepNext w:val="0"/>
        <w:keepLines w:val="0"/>
        <w:pageBreakBefore w:val="0"/>
        <w:widowControl w:val="0"/>
        <w:kinsoku/>
        <w:wordWrap/>
        <w:overflowPunct/>
        <w:topLinePunct w:val="0"/>
        <w:autoSpaceDE/>
        <w:autoSpaceDN/>
        <w:bidi w:val="0"/>
        <w:adjustRightInd w:val="0"/>
        <w:snapToGrid w:val="0"/>
        <w:spacing w:before="0" w:beforeLines="0"/>
        <w:ind w:firstLine="560" w:firstLineChars="200"/>
        <w:textAlignment w:val="auto"/>
        <w:outlineLvl w:val="9"/>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为避免在检查井盖损坏或缺失时发生行人坠落检查井的事故，根据《室外排水设计标准》（GB 50014-2021)5.4.11条检查井应安装防坠落装置。防坠落装置应牢固可靠，具有一定的承载能力，并具备较大的过水能力，避免暴雨期间雨水从井底涌出时被冲走，本次设计</w:t>
      </w:r>
      <w:r>
        <w:rPr>
          <w:rFonts w:hint="eastAsia" w:ascii="仿宋" w:hAnsi="仿宋" w:eastAsia="仿宋" w:cs="仿宋"/>
          <w:b w:val="0"/>
          <w:bCs/>
          <w:color w:val="auto"/>
          <w:sz w:val="28"/>
          <w:szCs w:val="28"/>
          <w:highlight w:val="none"/>
          <w:lang w:val="en-US" w:eastAsia="zh-CN"/>
        </w:rPr>
        <w:t>范围内防坠网缺失、损坏严重，全部检查井</w:t>
      </w:r>
      <w:r>
        <w:rPr>
          <w:rFonts w:hint="eastAsia" w:ascii="仿宋" w:hAnsi="仿宋" w:eastAsia="仿宋" w:cs="仿宋"/>
          <w:b w:val="0"/>
          <w:bCs/>
          <w:color w:val="auto"/>
          <w:sz w:val="28"/>
          <w:szCs w:val="28"/>
          <w:highlight w:val="none"/>
        </w:rPr>
        <w:t>均</w:t>
      </w:r>
      <w:r>
        <w:rPr>
          <w:rFonts w:hint="eastAsia" w:ascii="仿宋" w:hAnsi="仿宋" w:eastAsia="仿宋" w:cs="仿宋"/>
          <w:b w:val="0"/>
          <w:bCs/>
          <w:color w:val="auto"/>
          <w:sz w:val="28"/>
          <w:szCs w:val="28"/>
          <w:highlight w:val="none"/>
          <w:lang w:val="en-US" w:eastAsia="zh-CN"/>
        </w:rPr>
        <w:t>更换</w:t>
      </w:r>
      <w:r>
        <w:rPr>
          <w:rFonts w:hint="eastAsia" w:ascii="仿宋" w:hAnsi="仿宋" w:eastAsia="仿宋" w:cs="仿宋"/>
          <w:b w:val="0"/>
          <w:bCs/>
          <w:color w:val="auto"/>
          <w:sz w:val="28"/>
          <w:szCs w:val="28"/>
          <w:highlight w:val="none"/>
        </w:rPr>
        <w:t>防坠网，防坠网做法详见大样图。</w:t>
      </w:r>
    </w:p>
    <w:p w14:paraId="79ADA1D4">
      <w:pPr>
        <w:keepNext w:val="0"/>
        <w:keepLines w:val="0"/>
        <w:pageBreakBefore w:val="0"/>
        <w:widowControl w:val="0"/>
        <w:numPr>
          <w:ilvl w:val="0"/>
          <w:numId w:val="0"/>
        </w:numPr>
        <w:kinsoku/>
        <w:wordWrap/>
        <w:overflowPunct/>
        <w:topLinePunct w:val="0"/>
        <w:autoSpaceDE/>
        <w:autoSpaceDN/>
        <w:bidi w:val="0"/>
        <w:adjustRightInd w:val="0"/>
        <w:snapToGrid w:val="0"/>
        <w:textAlignment w:val="auto"/>
        <w:outlineLvl w:val="2"/>
        <w:rPr>
          <w:rFonts w:hint="eastAsia" w:ascii="仿宋" w:hAnsi="仿宋" w:eastAsia="仿宋" w:cs="仿宋"/>
          <w:color w:val="auto"/>
          <w:sz w:val="28"/>
          <w:szCs w:val="28"/>
          <w:highlight w:val="none"/>
          <w:lang w:val="en-US" w:eastAsia="zh-CN"/>
        </w:rPr>
      </w:pPr>
      <w:r>
        <w:rPr>
          <w:rFonts w:hint="eastAsia" w:ascii="仿宋" w:hAnsi="仿宋" w:eastAsia="仿宋" w:cs="仿宋"/>
          <w:b/>
          <w:bCs/>
          <w:color w:val="auto"/>
          <w:sz w:val="28"/>
          <w:szCs w:val="28"/>
          <w:highlight w:val="none"/>
          <w:lang w:val="en-US" w:eastAsia="zh-CN"/>
        </w:rPr>
        <w:t>5.3.3雨水篦子更换</w:t>
      </w:r>
    </w:p>
    <w:p w14:paraId="28781419">
      <w:pPr>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雨水口做法参照雨水口大样图，采用双箅雨水口；低洼点、积水点宜采用四箅或多箅雨水口。双箅雨水口连接管宜采用d300mm管道，四箅或多箅雨水口连接管宜采用d400mm管道，雨水口连接管坡度不应小于1.0%。</w:t>
      </w:r>
    </w:p>
    <w:p w14:paraId="422DCBDB">
      <w:pPr>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位于车行道的雨水口箅子宜采用防盗型可开启式球墨铸铁成品，规格应采用B×L=250mm×700mm宽型雨篦，按承载能力最低选用E600类型，单个产品重量应不低于50kg。本次设计单个双箅雨水口泄流能力为25L/s，并应满足1.5～3.0倍流量要求。</w:t>
      </w:r>
    </w:p>
    <w:p w14:paraId="153565BB">
      <w:pPr>
        <w:rPr>
          <w:rFonts w:hint="eastAsia"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道路竖曲线最低点、道路交叉口附近及未置于道路最低洼处的雨水口，在实施时应调整至实际路面的最低洼点，雨水篦比路面低3～5cm，以保证有效收水。</w:t>
      </w:r>
    </w:p>
    <w:p w14:paraId="020C78BA">
      <w:pPr>
        <w:keepNext w:val="0"/>
        <w:keepLines w:val="0"/>
        <w:pageBreakBefore w:val="0"/>
        <w:widowControl w:val="0"/>
        <w:numPr>
          <w:ilvl w:val="0"/>
          <w:numId w:val="0"/>
        </w:numPr>
        <w:kinsoku/>
        <w:wordWrap/>
        <w:overflowPunct/>
        <w:topLinePunct w:val="0"/>
        <w:autoSpaceDE/>
        <w:autoSpaceDN/>
        <w:bidi w:val="0"/>
        <w:adjustRightInd w:val="0"/>
        <w:snapToGrid w:val="0"/>
        <w:textAlignment w:val="auto"/>
        <w:outlineLvl w:val="2"/>
        <w:rPr>
          <w:rFonts w:hint="eastAsia"/>
          <w:b w:val="0"/>
          <w:bCs/>
          <w:color w:val="auto"/>
          <w:sz w:val="28"/>
          <w:szCs w:val="28"/>
          <w:highlight w:val="none"/>
          <w:lang w:val="en-US" w:eastAsia="zh-CN"/>
        </w:rPr>
      </w:pPr>
      <w:r>
        <w:rPr>
          <w:rFonts w:hint="eastAsia" w:ascii="仿宋" w:hAnsi="仿宋" w:eastAsia="仿宋" w:cs="仿宋"/>
          <w:b/>
          <w:bCs/>
          <w:color w:val="auto"/>
          <w:sz w:val="28"/>
          <w:szCs w:val="28"/>
          <w:highlight w:val="none"/>
          <w:lang w:val="en-US" w:eastAsia="zh-CN"/>
        </w:rPr>
        <w:t>5.3.4其他设施提升</w:t>
      </w:r>
    </w:p>
    <w:p w14:paraId="1DC57145">
      <w:pPr>
        <w:keepNext w:val="0"/>
        <w:keepLines w:val="0"/>
        <w:pageBreakBefore w:val="0"/>
        <w:widowControl w:val="0"/>
        <w:kinsoku/>
        <w:wordWrap/>
        <w:overflowPunct/>
        <w:topLinePunct w:val="0"/>
        <w:autoSpaceDE/>
        <w:autoSpaceDN/>
        <w:bidi w:val="0"/>
        <w:adjustRightInd w:val="0"/>
        <w:snapToGrid w:val="0"/>
        <w:spacing w:before="0" w:beforeLines="0"/>
        <w:ind w:firstLine="560" w:firstLineChars="200"/>
        <w:textAlignment w:val="auto"/>
        <w:outlineLvl w:val="9"/>
        <w:rPr>
          <w:rFonts w:hint="default"/>
          <w:color w:val="auto"/>
          <w:sz w:val="28"/>
          <w:szCs w:val="28"/>
          <w:highlight w:val="none"/>
          <w:lang w:val="en-US" w:eastAsia="zh-CN"/>
        </w:rPr>
      </w:pPr>
      <w:r>
        <w:rPr>
          <w:rFonts w:hint="eastAsia" w:ascii="仿宋" w:hAnsi="仿宋" w:eastAsia="仿宋" w:cs="仿宋"/>
          <w:b w:val="0"/>
          <w:bCs/>
          <w:color w:val="auto"/>
          <w:sz w:val="28"/>
          <w:szCs w:val="28"/>
          <w:highlight w:val="none"/>
          <w:lang w:val="en-US" w:eastAsia="zh-CN"/>
        </w:rPr>
        <w:t>本次设计范围内人行道上的给水、燃气、路灯、电力、通信复合材料井盖及井座、混凝土盖板等存在破损、缺失的情况，本次设计范围内人行道上破损的给水、燃气、路灯、电力、通信井盖全部更换为</w:t>
      </w:r>
      <w:r>
        <w:rPr>
          <w:rFonts w:hint="eastAsia" w:ascii="仿宋" w:hAnsi="仿宋" w:eastAsia="仿宋" w:cs="仿宋"/>
          <w:color w:val="auto"/>
          <w:sz w:val="28"/>
          <w:szCs w:val="28"/>
          <w:highlight w:val="none"/>
        </w:rPr>
        <w:t>成品球墨铸铁井盖及井座</w:t>
      </w:r>
      <w:r>
        <w:rPr>
          <w:rFonts w:hint="eastAsia" w:ascii="仿宋" w:hAnsi="仿宋" w:eastAsia="仿宋" w:cs="仿宋"/>
          <w:color w:val="auto"/>
          <w:sz w:val="28"/>
          <w:szCs w:val="28"/>
          <w:highlight w:val="none"/>
          <w:lang w:eastAsia="zh-CN"/>
        </w:rPr>
        <w:t>，</w:t>
      </w:r>
      <w:r>
        <w:rPr>
          <w:rFonts w:hint="eastAsia" w:ascii="仿宋" w:hAnsi="仿宋" w:eastAsia="仿宋" w:cs="仿宋"/>
          <w:b w:val="0"/>
          <w:bCs/>
          <w:color w:val="auto"/>
          <w:sz w:val="28"/>
          <w:szCs w:val="28"/>
          <w:highlight w:val="none"/>
          <w:lang w:val="en-US" w:eastAsia="zh-CN"/>
        </w:rPr>
        <w:t>并对现状破损的检查井分情况进行井筒、井身新建。井盖正中采用圆角矩形框，其内容标志类别“给水”、“燃气”、“通信”、“电力”。由于资料缺失，暂估需更换128座，具体以实际为准。</w:t>
      </w:r>
    </w:p>
    <w:p w14:paraId="6FF5ED68">
      <w:pPr>
        <w:keepNext/>
        <w:keepLines/>
        <w:pageBreakBefore w:val="0"/>
        <w:widowControl w:val="0"/>
        <w:numPr>
          <w:ilvl w:val="0"/>
          <w:numId w:val="0"/>
        </w:numPr>
        <w:kinsoku/>
        <w:wordWrap/>
        <w:overflowPunct/>
        <w:topLinePunct w:val="0"/>
        <w:autoSpaceDE/>
        <w:autoSpaceDN/>
        <w:bidi w:val="0"/>
        <w:adjustRightInd w:val="0"/>
        <w:snapToGrid w:val="0"/>
        <w:spacing w:before="164" w:beforeLines="50"/>
        <w:ind w:leftChars="0"/>
        <w:textAlignment w:val="auto"/>
        <w:outlineLvl w:val="0"/>
        <w:rPr>
          <w:rFonts w:hint="eastAsia" w:ascii="仿宋" w:hAnsi="仿宋" w:eastAsia="仿宋" w:cs="仿宋"/>
          <w:b/>
          <w:bCs/>
          <w:color w:val="auto"/>
          <w:sz w:val="28"/>
          <w:szCs w:val="28"/>
          <w:highlight w:val="none"/>
          <w:lang w:val="en-US" w:eastAsia="zh-CN"/>
        </w:rPr>
      </w:pPr>
      <w:bookmarkStart w:id="83" w:name="_Toc11540"/>
      <w:bookmarkStart w:id="84" w:name="_Toc10293"/>
      <w:bookmarkStart w:id="85" w:name="_Toc93997343"/>
      <w:bookmarkStart w:id="86" w:name="_Toc86870127"/>
      <w:bookmarkStart w:id="87" w:name="_Toc93997409"/>
      <w:r>
        <w:rPr>
          <w:rFonts w:hint="eastAsia" w:ascii="仿宋" w:hAnsi="仿宋" w:eastAsia="仿宋" w:cs="仿宋"/>
          <w:b/>
          <w:bCs/>
          <w:color w:val="auto"/>
          <w:sz w:val="28"/>
          <w:szCs w:val="28"/>
          <w:highlight w:val="none"/>
          <w:lang w:val="en-US" w:eastAsia="zh-CN"/>
        </w:rPr>
        <w:t>6 施工技术要求及注意事项</w:t>
      </w:r>
      <w:bookmarkEnd w:id="83"/>
    </w:p>
    <w:bookmarkEnd w:id="84"/>
    <w:p w14:paraId="7B6EA151">
      <w:pPr>
        <w:keepNext/>
        <w:keepLines/>
        <w:pageBreakBefore w:val="0"/>
        <w:widowControl w:val="0"/>
        <w:numPr>
          <w:ilvl w:val="0"/>
          <w:numId w:val="0"/>
        </w:numPr>
        <w:kinsoku/>
        <w:wordWrap/>
        <w:overflowPunct/>
        <w:topLinePunct w:val="0"/>
        <w:autoSpaceDE/>
        <w:autoSpaceDN/>
        <w:bidi w:val="0"/>
        <w:adjustRightInd w:val="0"/>
        <w:snapToGrid w:val="0"/>
        <w:spacing w:before="164" w:beforeLines="50" w:after="164" w:afterLines="50" w:line="360" w:lineRule="auto"/>
        <w:ind w:leftChars="0"/>
        <w:textAlignment w:val="auto"/>
        <w:outlineLvl w:val="1"/>
        <w:rPr>
          <w:rFonts w:hint="eastAsia" w:ascii="仿宋" w:hAnsi="仿宋" w:eastAsia="仿宋" w:cs="仿宋"/>
          <w:b/>
          <w:bCs/>
          <w:color w:val="auto"/>
          <w:sz w:val="28"/>
          <w:szCs w:val="28"/>
          <w:highlight w:val="none"/>
          <w:lang w:val="en-US" w:eastAsia="zh-CN"/>
        </w:rPr>
      </w:pPr>
      <w:bookmarkStart w:id="88" w:name="_Toc2714"/>
      <w:bookmarkStart w:id="89" w:name="_Toc28892"/>
      <w:r>
        <w:rPr>
          <w:rFonts w:hint="eastAsia" w:ascii="仿宋" w:hAnsi="仿宋" w:eastAsia="仿宋" w:cs="仿宋"/>
          <w:b/>
          <w:bCs/>
          <w:color w:val="auto"/>
          <w:sz w:val="28"/>
          <w:szCs w:val="28"/>
          <w:highlight w:val="none"/>
          <w:lang w:val="en-US" w:eastAsia="zh-CN"/>
        </w:rPr>
        <w:t>6.1基底处理及路床回填</w:t>
      </w:r>
    </w:p>
    <w:p w14:paraId="50F054FC">
      <w:pP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（1）</w:t>
      </w:r>
      <w:r>
        <w:rPr>
          <w:rFonts w:hint="eastAsia" w:ascii="仿宋" w:hAnsi="仿宋" w:eastAsia="仿宋" w:cs="仿宋"/>
          <w:color w:val="auto"/>
          <w:highlight w:val="none"/>
        </w:rPr>
        <w:t>质量标准</w:t>
      </w:r>
    </w:p>
    <w:p w14:paraId="76082941">
      <w:pPr>
        <w:rPr>
          <w:rFonts w:hint="eastAsia" w:ascii="仿宋" w:hAnsi="仿宋" w:eastAsia="仿宋" w:cs="仿宋"/>
          <w:color w:val="auto"/>
          <w:highlight w:val="none"/>
        </w:rPr>
      </w:pPr>
      <w:r>
        <w:rPr>
          <w:rFonts w:hint="eastAsia" w:ascii="仿宋" w:hAnsi="仿宋" w:eastAsia="仿宋" w:cs="仿宋"/>
          <w:color w:val="auto"/>
          <w:highlight w:val="none"/>
          <w:lang w:eastAsia="zh-CN"/>
        </w:rPr>
        <w:t>针对病害修复开挖后，需对基地</w:t>
      </w:r>
      <w:r>
        <w:rPr>
          <w:rFonts w:hint="eastAsia" w:ascii="仿宋" w:hAnsi="仿宋" w:eastAsia="仿宋" w:cs="仿宋"/>
          <w:color w:val="auto"/>
          <w:highlight w:val="none"/>
        </w:rPr>
        <w:t>土质路基</w:t>
      </w:r>
      <w:r>
        <w:rPr>
          <w:rFonts w:hint="eastAsia" w:ascii="仿宋" w:hAnsi="仿宋" w:eastAsia="仿宋" w:cs="仿宋"/>
          <w:color w:val="auto"/>
          <w:highlight w:val="none"/>
          <w:lang w:eastAsia="zh-CN"/>
        </w:rPr>
        <w:t>进行压实整平处理的，满足压实要求后采用砂砾石回填路床部分</w:t>
      </w:r>
      <w:r>
        <w:rPr>
          <w:rFonts w:hint="eastAsia" w:ascii="仿宋" w:hAnsi="仿宋" w:eastAsia="仿宋" w:cs="仿宋"/>
          <w:color w:val="auto"/>
          <w:highlight w:val="none"/>
        </w:rPr>
        <w:t>，</w:t>
      </w:r>
      <w:r>
        <w:rPr>
          <w:rFonts w:hint="eastAsia" w:ascii="仿宋" w:hAnsi="仿宋" w:eastAsia="仿宋" w:cs="仿宋"/>
          <w:color w:val="auto"/>
          <w:highlight w:val="none"/>
          <w:lang w:eastAsia="zh-CN"/>
        </w:rPr>
        <w:t>回填</w:t>
      </w:r>
      <w:r>
        <w:rPr>
          <w:rFonts w:hint="eastAsia" w:ascii="仿宋" w:hAnsi="仿宋" w:eastAsia="仿宋" w:cs="仿宋"/>
          <w:color w:val="auto"/>
          <w:highlight w:val="none"/>
        </w:rPr>
        <w:t>不得有松散、软弹、翻浆及表面不平整现象，土、石路床必须用12～15t振动压路机碾压，其轮迹不得大于5mm，土质路床不得有翻浆、软弹、起皮、波浪、积水等现象。</w:t>
      </w:r>
    </w:p>
    <w:p w14:paraId="0D359889">
      <w:pPr>
        <w:rPr>
          <w:rFonts w:hint="eastAsia" w:ascii="仿宋" w:hAnsi="仿宋" w:eastAsia="仿宋" w:cs="仿宋"/>
          <w:color w:val="auto"/>
          <w:highlight w:val="none"/>
        </w:rPr>
      </w:pPr>
      <w:r>
        <w:rPr>
          <w:rFonts w:hint="eastAsia" w:ascii="仿宋" w:hAnsi="仿宋" w:eastAsia="仿宋" w:cs="仿宋"/>
          <w:color w:val="auto"/>
          <w:highlight w:val="none"/>
        </w:rPr>
        <w:t>压实度（重型击实标准）参见下表：</w:t>
      </w:r>
    </w:p>
    <w:tbl>
      <w:tblPr>
        <w:tblStyle w:val="88"/>
        <w:tblW w:w="9019"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745"/>
        <w:gridCol w:w="4076"/>
        <w:gridCol w:w="3198"/>
      </w:tblGrid>
      <w:tr w14:paraId="6A1B352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78" w:hRule="exact"/>
          <w:jc w:val="center"/>
        </w:trPr>
        <w:tc>
          <w:tcPr>
            <w:tcW w:w="1745" w:type="dxa"/>
            <w:noWrap w:val="0"/>
            <w:vAlign w:val="bottom"/>
          </w:tcPr>
          <w:p w14:paraId="6D8F8D20">
            <w:pPr>
              <w:rPr>
                <w:rFonts w:hint="eastAsia" w:ascii="仿宋" w:hAnsi="仿宋" w:eastAsia="仿宋" w:cs="仿宋"/>
                <w:color w:val="auto"/>
                <w:highlight w:val="none"/>
              </w:rPr>
            </w:pPr>
            <w:r>
              <w:rPr>
                <w:rFonts w:hint="eastAsia" w:ascii="仿宋" w:hAnsi="仿宋" w:eastAsia="仿宋" w:cs="仿宋"/>
                <w:color w:val="auto"/>
                <w:highlight w:val="none"/>
              </w:rPr>
              <w:t>填挖类别</w:t>
            </w:r>
          </w:p>
        </w:tc>
        <w:tc>
          <w:tcPr>
            <w:tcW w:w="4076" w:type="dxa"/>
            <w:noWrap w:val="0"/>
            <w:vAlign w:val="bottom"/>
          </w:tcPr>
          <w:p w14:paraId="2089E036">
            <w:pPr>
              <w:rPr>
                <w:rFonts w:hint="eastAsia" w:ascii="仿宋" w:hAnsi="仿宋" w:eastAsia="仿宋" w:cs="仿宋"/>
                <w:color w:val="auto"/>
                <w:highlight w:val="none"/>
              </w:rPr>
            </w:pPr>
            <w:r>
              <w:rPr>
                <w:rFonts w:hint="eastAsia" w:ascii="仿宋" w:hAnsi="仿宋" w:eastAsia="仿宋" w:cs="仿宋"/>
                <w:color w:val="auto"/>
                <w:highlight w:val="none"/>
              </w:rPr>
              <w:t>路床顶面以下深度（m）</w:t>
            </w:r>
          </w:p>
        </w:tc>
        <w:tc>
          <w:tcPr>
            <w:tcW w:w="3198" w:type="dxa"/>
            <w:noWrap w:val="0"/>
            <w:vAlign w:val="bottom"/>
          </w:tcPr>
          <w:p w14:paraId="27548A17">
            <w:pPr>
              <w:rPr>
                <w:rFonts w:hint="eastAsia" w:ascii="仿宋" w:hAnsi="仿宋" w:eastAsia="仿宋" w:cs="仿宋"/>
                <w:color w:val="auto"/>
                <w:highlight w:val="none"/>
              </w:rPr>
            </w:pPr>
            <w:r>
              <w:rPr>
                <w:rFonts w:hint="eastAsia" w:ascii="仿宋" w:hAnsi="仿宋" w:eastAsia="仿宋" w:cs="仿宋"/>
                <w:color w:val="auto"/>
                <w:highlight w:val="none"/>
              </w:rPr>
              <w:t>路基压实度%</w:t>
            </w:r>
          </w:p>
        </w:tc>
      </w:tr>
      <w:tr w14:paraId="0DCFED3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78" w:hRule="exact"/>
          <w:jc w:val="center"/>
        </w:trPr>
        <w:tc>
          <w:tcPr>
            <w:tcW w:w="1745" w:type="dxa"/>
            <w:noWrap w:val="0"/>
            <w:vAlign w:val="center"/>
          </w:tcPr>
          <w:p w14:paraId="4C1A7894">
            <w:pPr>
              <w:rPr>
                <w:rFonts w:hint="eastAsia" w:ascii="仿宋" w:hAnsi="仿宋" w:eastAsia="仿宋" w:cs="仿宋"/>
                <w:color w:val="auto"/>
                <w:highlight w:val="none"/>
              </w:rPr>
            </w:pPr>
            <w:r>
              <w:rPr>
                <w:rFonts w:hint="eastAsia" w:ascii="仿宋" w:hAnsi="仿宋" w:eastAsia="仿宋" w:cs="仿宋"/>
                <w:color w:val="auto"/>
                <w:highlight w:val="none"/>
                <w:lang w:eastAsia="zh-CN"/>
              </w:rPr>
              <w:t>零填及</w:t>
            </w:r>
            <w:r>
              <w:rPr>
                <w:rFonts w:hint="eastAsia" w:ascii="仿宋" w:hAnsi="仿宋" w:eastAsia="仿宋" w:cs="仿宋"/>
                <w:color w:val="auto"/>
                <w:highlight w:val="none"/>
              </w:rPr>
              <w:t>挖方</w:t>
            </w:r>
          </w:p>
        </w:tc>
        <w:tc>
          <w:tcPr>
            <w:tcW w:w="4076" w:type="dxa"/>
            <w:noWrap w:val="0"/>
            <w:vAlign w:val="bottom"/>
          </w:tcPr>
          <w:p w14:paraId="4F30764C">
            <w:pPr>
              <w:rPr>
                <w:rFonts w:hint="eastAsia" w:ascii="仿宋" w:hAnsi="仿宋" w:eastAsia="仿宋" w:cs="仿宋"/>
                <w:color w:val="auto"/>
                <w:highlight w:val="none"/>
              </w:rPr>
            </w:pPr>
            <w:r>
              <w:rPr>
                <w:rFonts w:hint="eastAsia" w:ascii="仿宋" w:hAnsi="仿宋" w:eastAsia="仿宋" w:cs="仿宋"/>
                <w:color w:val="auto"/>
                <w:highlight w:val="none"/>
              </w:rPr>
              <w:t>0～0.3</w:t>
            </w:r>
          </w:p>
        </w:tc>
        <w:tc>
          <w:tcPr>
            <w:tcW w:w="3198" w:type="dxa"/>
            <w:noWrap w:val="0"/>
            <w:vAlign w:val="bottom"/>
          </w:tcPr>
          <w:p w14:paraId="37A86281">
            <w:pPr>
              <w:rPr>
                <w:rFonts w:hint="eastAsia" w:ascii="仿宋" w:hAnsi="仿宋" w:eastAsia="仿宋" w:cs="仿宋"/>
                <w:color w:val="auto"/>
                <w:highlight w:val="none"/>
                <w:lang w:eastAsia="zh-CN"/>
              </w:rPr>
            </w:pPr>
            <w:r>
              <w:rPr>
                <w:rFonts w:hint="eastAsia" w:ascii="仿宋" w:hAnsi="仿宋" w:eastAsia="仿宋" w:cs="仿宋"/>
                <w:color w:val="auto"/>
                <w:highlight w:val="none"/>
              </w:rPr>
              <w:t>≥9</w:t>
            </w:r>
            <w:r>
              <w:rPr>
                <w:rFonts w:hint="eastAsia" w:ascii="仿宋" w:hAnsi="仿宋" w:eastAsia="仿宋" w:cs="仿宋"/>
                <w:color w:val="auto"/>
                <w:highlight w:val="none"/>
                <w:lang w:val="en-US" w:eastAsia="zh-CN"/>
              </w:rPr>
              <w:t>4</w:t>
            </w:r>
          </w:p>
        </w:tc>
      </w:tr>
      <w:tr w14:paraId="2EE86BB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78" w:hRule="exact"/>
          <w:jc w:val="center"/>
        </w:trPr>
        <w:tc>
          <w:tcPr>
            <w:tcW w:w="1745" w:type="dxa"/>
            <w:vMerge w:val="restart"/>
            <w:noWrap w:val="0"/>
            <w:vAlign w:val="center"/>
          </w:tcPr>
          <w:p w14:paraId="7490EEA7">
            <w:pPr>
              <w:rPr>
                <w:rFonts w:hint="eastAsia" w:ascii="仿宋" w:hAnsi="仿宋" w:eastAsia="仿宋" w:cs="仿宋"/>
                <w:color w:val="auto"/>
                <w:highlight w:val="none"/>
              </w:rPr>
            </w:pPr>
            <w:r>
              <w:rPr>
                <w:rFonts w:hint="eastAsia" w:ascii="仿宋" w:hAnsi="仿宋" w:eastAsia="仿宋" w:cs="仿宋"/>
                <w:color w:val="auto"/>
                <w:highlight w:val="none"/>
              </w:rPr>
              <w:t>填方</w:t>
            </w:r>
          </w:p>
        </w:tc>
        <w:tc>
          <w:tcPr>
            <w:tcW w:w="4076" w:type="dxa"/>
            <w:noWrap w:val="0"/>
            <w:vAlign w:val="bottom"/>
          </w:tcPr>
          <w:p w14:paraId="0A05A8CD">
            <w:pPr>
              <w:rPr>
                <w:rFonts w:hint="eastAsia" w:ascii="仿宋" w:hAnsi="仿宋" w:eastAsia="仿宋" w:cs="仿宋"/>
                <w:color w:val="auto"/>
                <w:highlight w:val="none"/>
              </w:rPr>
            </w:pPr>
            <w:r>
              <w:rPr>
                <w:rFonts w:hint="eastAsia" w:ascii="仿宋" w:hAnsi="仿宋" w:eastAsia="仿宋" w:cs="仿宋"/>
                <w:color w:val="auto"/>
                <w:highlight w:val="none"/>
              </w:rPr>
              <w:t>0～0.8</w:t>
            </w:r>
          </w:p>
        </w:tc>
        <w:tc>
          <w:tcPr>
            <w:tcW w:w="3198" w:type="dxa"/>
            <w:noWrap w:val="0"/>
            <w:vAlign w:val="bottom"/>
          </w:tcPr>
          <w:p w14:paraId="0E401655">
            <w:pPr>
              <w:rPr>
                <w:rFonts w:hint="eastAsia" w:ascii="仿宋" w:hAnsi="仿宋" w:eastAsia="仿宋" w:cs="仿宋"/>
                <w:color w:val="auto"/>
                <w:highlight w:val="none"/>
                <w:lang w:eastAsia="zh-CN"/>
              </w:rPr>
            </w:pPr>
            <w:r>
              <w:rPr>
                <w:rFonts w:hint="eastAsia" w:ascii="仿宋" w:hAnsi="仿宋" w:eastAsia="仿宋" w:cs="仿宋"/>
                <w:color w:val="auto"/>
                <w:highlight w:val="none"/>
              </w:rPr>
              <w:t>≥9</w:t>
            </w:r>
            <w:r>
              <w:rPr>
                <w:rFonts w:hint="eastAsia" w:ascii="仿宋" w:hAnsi="仿宋" w:eastAsia="仿宋" w:cs="仿宋"/>
                <w:color w:val="auto"/>
                <w:highlight w:val="none"/>
                <w:lang w:val="en-US" w:eastAsia="zh-CN"/>
              </w:rPr>
              <w:t>4</w:t>
            </w:r>
          </w:p>
        </w:tc>
      </w:tr>
      <w:tr w14:paraId="3D179D9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78" w:hRule="exact"/>
          <w:jc w:val="center"/>
        </w:trPr>
        <w:tc>
          <w:tcPr>
            <w:tcW w:w="1745" w:type="dxa"/>
            <w:vMerge w:val="continue"/>
            <w:noWrap w:val="0"/>
            <w:vAlign w:val="center"/>
          </w:tcPr>
          <w:p w14:paraId="606A971F">
            <w:pPr>
              <w:rPr>
                <w:rFonts w:hint="eastAsia" w:ascii="仿宋" w:hAnsi="仿宋" w:eastAsia="仿宋" w:cs="仿宋"/>
                <w:color w:val="auto"/>
                <w:highlight w:val="none"/>
              </w:rPr>
            </w:pPr>
          </w:p>
        </w:tc>
        <w:tc>
          <w:tcPr>
            <w:tcW w:w="4076" w:type="dxa"/>
            <w:noWrap w:val="0"/>
            <w:vAlign w:val="bottom"/>
          </w:tcPr>
          <w:p w14:paraId="72C2E951">
            <w:pPr>
              <w:rPr>
                <w:rFonts w:hint="eastAsia" w:ascii="仿宋" w:hAnsi="仿宋" w:eastAsia="仿宋" w:cs="仿宋"/>
                <w:color w:val="auto"/>
                <w:highlight w:val="none"/>
              </w:rPr>
            </w:pPr>
            <w:r>
              <w:rPr>
                <w:rFonts w:hint="eastAsia" w:ascii="仿宋" w:hAnsi="仿宋" w:eastAsia="仿宋" w:cs="仿宋"/>
                <w:color w:val="auto"/>
                <w:highlight w:val="none"/>
              </w:rPr>
              <w:t>0.8～1.5</w:t>
            </w:r>
          </w:p>
        </w:tc>
        <w:tc>
          <w:tcPr>
            <w:tcW w:w="3198" w:type="dxa"/>
            <w:noWrap w:val="0"/>
            <w:vAlign w:val="bottom"/>
          </w:tcPr>
          <w:p w14:paraId="1C5EBD53">
            <w:pPr>
              <w:rPr>
                <w:rFonts w:hint="eastAsia" w:ascii="仿宋" w:hAnsi="仿宋" w:eastAsia="仿宋" w:cs="仿宋"/>
                <w:color w:val="auto"/>
                <w:highlight w:val="none"/>
                <w:lang w:eastAsia="zh-CN"/>
              </w:rPr>
            </w:pPr>
            <w:r>
              <w:rPr>
                <w:rFonts w:hint="eastAsia" w:ascii="仿宋" w:hAnsi="仿宋" w:eastAsia="仿宋" w:cs="仿宋"/>
                <w:color w:val="auto"/>
                <w:highlight w:val="none"/>
              </w:rPr>
              <w:t>≥9</w:t>
            </w:r>
            <w:r>
              <w:rPr>
                <w:rFonts w:hint="eastAsia" w:ascii="仿宋" w:hAnsi="仿宋" w:eastAsia="仿宋" w:cs="仿宋"/>
                <w:color w:val="auto"/>
                <w:highlight w:val="none"/>
                <w:lang w:val="en-US" w:eastAsia="zh-CN"/>
              </w:rPr>
              <w:t>3</w:t>
            </w:r>
          </w:p>
        </w:tc>
      </w:tr>
      <w:tr w14:paraId="3A9E008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26" w:hRule="exact"/>
          <w:jc w:val="center"/>
        </w:trPr>
        <w:tc>
          <w:tcPr>
            <w:tcW w:w="1745" w:type="dxa"/>
            <w:vMerge w:val="continue"/>
            <w:noWrap w:val="0"/>
            <w:vAlign w:val="center"/>
          </w:tcPr>
          <w:p w14:paraId="2F620AED">
            <w:pPr>
              <w:rPr>
                <w:rFonts w:hint="eastAsia" w:ascii="仿宋" w:hAnsi="仿宋" w:eastAsia="仿宋" w:cs="仿宋"/>
                <w:color w:val="auto"/>
                <w:highlight w:val="none"/>
              </w:rPr>
            </w:pPr>
          </w:p>
        </w:tc>
        <w:tc>
          <w:tcPr>
            <w:tcW w:w="4076" w:type="dxa"/>
            <w:noWrap w:val="0"/>
            <w:vAlign w:val="bottom"/>
          </w:tcPr>
          <w:p w14:paraId="3A139A6C">
            <w:pPr>
              <w:rPr>
                <w:rFonts w:hint="eastAsia" w:ascii="仿宋" w:hAnsi="仿宋" w:eastAsia="仿宋" w:cs="仿宋"/>
                <w:color w:val="auto"/>
                <w:highlight w:val="none"/>
              </w:rPr>
            </w:pPr>
            <w:r>
              <w:rPr>
                <w:rFonts w:hint="eastAsia" w:ascii="仿宋" w:hAnsi="仿宋" w:eastAsia="仿宋" w:cs="仿宋"/>
                <w:color w:val="auto"/>
                <w:highlight w:val="none"/>
              </w:rPr>
              <w:t>＞1.5</w:t>
            </w:r>
          </w:p>
        </w:tc>
        <w:tc>
          <w:tcPr>
            <w:tcW w:w="3198" w:type="dxa"/>
            <w:noWrap w:val="0"/>
            <w:vAlign w:val="bottom"/>
          </w:tcPr>
          <w:p w14:paraId="205F5DD4">
            <w:pPr>
              <w:rPr>
                <w:rFonts w:hint="eastAsia" w:ascii="仿宋" w:hAnsi="仿宋" w:eastAsia="仿宋" w:cs="仿宋"/>
                <w:color w:val="auto"/>
                <w:highlight w:val="none"/>
                <w:lang w:eastAsia="zh-CN"/>
              </w:rPr>
            </w:pPr>
            <w:r>
              <w:rPr>
                <w:rFonts w:hint="eastAsia" w:ascii="仿宋" w:hAnsi="仿宋" w:eastAsia="仿宋" w:cs="仿宋"/>
                <w:color w:val="auto"/>
                <w:highlight w:val="none"/>
              </w:rPr>
              <w:t>≥9</w:t>
            </w:r>
            <w:r>
              <w:rPr>
                <w:rFonts w:hint="eastAsia" w:ascii="仿宋" w:hAnsi="仿宋" w:eastAsia="仿宋" w:cs="仿宋"/>
                <w:color w:val="auto"/>
                <w:highlight w:val="none"/>
                <w:lang w:val="en-US" w:eastAsia="zh-CN"/>
              </w:rPr>
              <w:t>0</w:t>
            </w:r>
          </w:p>
        </w:tc>
      </w:tr>
    </w:tbl>
    <w:p w14:paraId="68CA330C">
      <w:pPr>
        <w:rPr>
          <w:rFonts w:hint="eastAsia" w:ascii="仿宋" w:hAnsi="仿宋" w:eastAsia="仿宋" w:cs="仿宋"/>
          <w:color w:val="auto"/>
          <w:highlight w:val="none"/>
        </w:rPr>
      </w:pPr>
      <w:r>
        <w:rPr>
          <w:rFonts w:hint="eastAsia" w:ascii="仿宋" w:hAnsi="仿宋" w:eastAsia="仿宋" w:cs="仿宋"/>
          <w:color w:val="auto"/>
          <w:highlight w:val="none"/>
        </w:rPr>
        <w:t>路床平整度：≤15mm         中线高程：+10mm，-20mm</w:t>
      </w:r>
    </w:p>
    <w:p w14:paraId="01BD2410">
      <w:pPr>
        <w:rPr>
          <w:rFonts w:hint="eastAsia" w:ascii="仿宋" w:hAnsi="仿宋" w:eastAsia="仿宋" w:cs="仿宋"/>
          <w:color w:val="auto"/>
          <w:highlight w:val="none"/>
        </w:rPr>
      </w:pPr>
      <w:r>
        <w:rPr>
          <w:rFonts w:hint="eastAsia" w:ascii="仿宋" w:hAnsi="仿宋" w:eastAsia="仿宋" w:cs="仿宋"/>
          <w:color w:val="auto"/>
          <w:highlight w:val="none"/>
        </w:rPr>
        <w:t>宽度：  不小于设计值         横坡：±0.3%</w:t>
      </w:r>
    </w:p>
    <w:p w14:paraId="4CEF172E">
      <w:pPr>
        <w:rPr>
          <w:rFonts w:hint="eastAsia" w:ascii="仿宋" w:hAnsi="仿宋" w:eastAsia="仿宋" w:cs="仿宋"/>
          <w:color w:val="auto"/>
          <w:highlight w:val="none"/>
        </w:rPr>
      </w:pPr>
      <w:r>
        <w:rPr>
          <w:rFonts w:hint="eastAsia" w:ascii="仿宋" w:hAnsi="仿宋" w:eastAsia="仿宋" w:cs="仿宋"/>
          <w:color w:val="auto"/>
          <w:highlight w:val="none"/>
        </w:rPr>
        <w:t>弯沉值：≤</w:t>
      </w:r>
      <w:r>
        <w:rPr>
          <w:rFonts w:hint="eastAsia" w:ascii="仿宋" w:hAnsi="仿宋" w:eastAsia="仿宋" w:cs="仿宋"/>
          <w:color w:val="auto"/>
          <w:highlight w:val="none"/>
          <w:lang w:val="en-US" w:eastAsia="zh-CN"/>
        </w:rPr>
        <w:t>232.9</w:t>
      </w:r>
      <w:r>
        <w:rPr>
          <w:rFonts w:hint="eastAsia" w:ascii="仿宋" w:hAnsi="仿宋" w:eastAsia="仿宋" w:cs="仿宋"/>
          <w:color w:val="auto"/>
          <w:highlight w:val="none"/>
        </w:rPr>
        <w:t>(0.01mm)</w:t>
      </w:r>
    </w:p>
    <w:p w14:paraId="11B411F3">
      <w:pP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rPr>
        <w:t>路基排水</w:t>
      </w:r>
    </w:p>
    <w:p w14:paraId="00842CA8">
      <w:pPr>
        <w:rPr>
          <w:rFonts w:hint="eastAsia" w:ascii="仿宋" w:hAnsi="仿宋" w:eastAsia="仿宋" w:cs="仿宋"/>
          <w:color w:val="auto"/>
          <w:highlight w:val="none"/>
        </w:rPr>
      </w:pPr>
      <w:r>
        <w:rPr>
          <w:rFonts w:hint="eastAsia" w:ascii="仿宋" w:hAnsi="仿宋" w:eastAsia="仿宋" w:cs="仿宋"/>
          <w:color w:val="auto"/>
          <w:highlight w:val="none"/>
        </w:rPr>
        <w:t>路基施工时应注意排水，必须合理安排排水路线，充分利用周边已建和新建的永久性排水设施。所有施工临时排水沟和盲沟的水流，均应引至路基外适当位置排放。</w:t>
      </w:r>
    </w:p>
    <w:p w14:paraId="7F3BB155">
      <w:pPr>
        <w:rPr>
          <w:rFonts w:hint="eastAsia" w:ascii="仿宋" w:hAnsi="仿宋" w:eastAsia="仿宋" w:cs="仿宋"/>
          <w:color w:val="auto"/>
          <w:highlight w:val="none"/>
        </w:rPr>
      </w:pPr>
      <w:r>
        <w:rPr>
          <w:rFonts w:hint="eastAsia" w:ascii="仿宋" w:hAnsi="仿宋" w:eastAsia="仿宋" w:cs="仿宋"/>
          <w:color w:val="auto"/>
          <w:highlight w:val="none"/>
        </w:rPr>
        <w:t>路基分层挖填时应根据土的透水性能将表面筑成2－4％的横坡度，并注意纵向排水，经常平整现场，清理散落的土，以利地面排水。当地面水排除困难时，应设置临时排水设施。</w:t>
      </w:r>
    </w:p>
    <w:p w14:paraId="14544841">
      <w:pPr>
        <w:keepNext/>
        <w:keepLines/>
        <w:pageBreakBefore w:val="0"/>
        <w:widowControl w:val="0"/>
        <w:numPr>
          <w:ilvl w:val="0"/>
          <w:numId w:val="0"/>
        </w:numPr>
        <w:kinsoku/>
        <w:wordWrap/>
        <w:overflowPunct/>
        <w:topLinePunct w:val="0"/>
        <w:autoSpaceDE/>
        <w:autoSpaceDN/>
        <w:bidi w:val="0"/>
        <w:adjustRightInd w:val="0"/>
        <w:snapToGrid w:val="0"/>
        <w:spacing w:before="164" w:beforeLines="50" w:after="164" w:afterLines="50" w:line="360" w:lineRule="auto"/>
        <w:ind w:leftChars="0"/>
        <w:textAlignment w:val="auto"/>
        <w:outlineLvl w:val="1"/>
        <w:rPr>
          <w:rFonts w:hint="eastAsia" w:ascii="仿宋" w:hAnsi="仿宋" w:eastAsia="仿宋" w:cs="仿宋"/>
          <w:b/>
          <w:bCs/>
          <w:color w:val="auto"/>
          <w:sz w:val="28"/>
          <w:szCs w:val="28"/>
          <w:highlight w:val="none"/>
          <w:lang w:val="en-US" w:eastAsia="zh-CN"/>
        </w:rPr>
      </w:pPr>
      <w:r>
        <w:rPr>
          <w:rFonts w:hint="eastAsia" w:ascii="仿宋" w:hAnsi="仿宋" w:eastAsia="仿宋" w:cs="仿宋"/>
          <w:b/>
          <w:bCs/>
          <w:color w:val="auto"/>
          <w:sz w:val="28"/>
          <w:szCs w:val="28"/>
          <w:highlight w:val="none"/>
          <w:lang w:val="en-US" w:eastAsia="zh-CN"/>
        </w:rPr>
        <w:t>6.2级配碎石垫层</w:t>
      </w:r>
    </w:p>
    <w:p w14:paraId="3C09760B">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路基通过验收后，方可进行级配碎石垫层施工。</w:t>
      </w:r>
    </w:p>
    <w:p w14:paraId="5C34867C">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（1）质量标准</w:t>
      </w:r>
    </w:p>
    <w:p w14:paraId="0E5F31F1">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干密度（g/cm3）：≥2.1</w:t>
      </w:r>
    </w:p>
    <w:p w14:paraId="15189990">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平整度：≤20mm</w:t>
      </w:r>
    </w:p>
    <w:p w14:paraId="1E79DEFA">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纵断高程：+5~-20mm</w:t>
      </w:r>
    </w:p>
    <w:p w14:paraId="22E41AB3">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横坡度：±0.3%且不反坡</w:t>
      </w:r>
    </w:p>
    <w:p w14:paraId="3830DC81">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厚度容许偏差：-20mm</w:t>
      </w:r>
    </w:p>
    <w:p w14:paraId="0291F425">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宽度：不小于设计规定+B</w:t>
      </w:r>
    </w:p>
    <w:p w14:paraId="29CB3BEE">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（2）材料要求</w:t>
      </w:r>
    </w:p>
    <w:p w14:paraId="6DEABB1C">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级配碎石材料应该符合下列规定：</w:t>
      </w:r>
    </w:p>
    <w:p w14:paraId="1FBB546A">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①轧制碎石的材料可为各种类型的岩石（软质岩石除外）、砾石。轧制碎石的砾石粒径应该为碎石最大粒径的3倍以上，碎石中不应该有黏土快、植物根叶、腐殖质等有害物质。</w:t>
      </w:r>
    </w:p>
    <w:p w14:paraId="2CBCEFC4">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②碎石中针片状颗粒的总含量不应超过20%。</w:t>
      </w:r>
    </w:p>
    <w:p w14:paraId="0881A7F6">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③级配碎石及级配碎砾石颗粒范围和技术指标应该符合下表：</w:t>
      </w:r>
    </w:p>
    <w:tbl>
      <w:tblPr>
        <w:tblStyle w:val="88"/>
        <w:tblW w:w="95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18"/>
        <w:gridCol w:w="1169"/>
        <w:gridCol w:w="990"/>
        <w:gridCol w:w="890"/>
        <w:gridCol w:w="1011"/>
        <w:gridCol w:w="777"/>
        <w:gridCol w:w="915"/>
        <w:gridCol w:w="805"/>
        <w:gridCol w:w="841"/>
      </w:tblGrid>
      <w:tr w14:paraId="57EF9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jc w:val="center"/>
        </w:trPr>
        <w:tc>
          <w:tcPr>
            <w:tcW w:w="2118" w:type="dxa"/>
            <w:noWrap w:val="0"/>
            <w:vAlign w:val="center"/>
          </w:tcPr>
          <w:p w14:paraId="3082BE39">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方筛孔尺寸</w:t>
            </w:r>
          </w:p>
        </w:tc>
        <w:tc>
          <w:tcPr>
            <w:tcW w:w="1169" w:type="dxa"/>
            <w:noWrap w:val="0"/>
            <w:vAlign w:val="center"/>
          </w:tcPr>
          <w:p w14:paraId="38C15560">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37.5</w:t>
            </w:r>
          </w:p>
        </w:tc>
        <w:tc>
          <w:tcPr>
            <w:tcW w:w="990" w:type="dxa"/>
            <w:noWrap w:val="0"/>
            <w:vAlign w:val="center"/>
          </w:tcPr>
          <w:p w14:paraId="3C301D02">
            <w:pPr>
              <w:pStyle w:val="296"/>
              <w:jc w:val="both"/>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31.5</w:t>
            </w:r>
          </w:p>
        </w:tc>
        <w:tc>
          <w:tcPr>
            <w:tcW w:w="890" w:type="dxa"/>
            <w:noWrap w:val="0"/>
            <w:vAlign w:val="center"/>
          </w:tcPr>
          <w:p w14:paraId="540ECBD9">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19</w:t>
            </w:r>
          </w:p>
        </w:tc>
        <w:tc>
          <w:tcPr>
            <w:tcW w:w="1011" w:type="dxa"/>
            <w:noWrap w:val="0"/>
            <w:vAlign w:val="center"/>
          </w:tcPr>
          <w:p w14:paraId="68BB6FFA">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9.5</w:t>
            </w:r>
          </w:p>
        </w:tc>
        <w:tc>
          <w:tcPr>
            <w:tcW w:w="777" w:type="dxa"/>
            <w:noWrap w:val="0"/>
            <w:vAlign w:val="center"/>
          </w:tcPr>
          <w:p w14:paraId="44A0FEFE">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4.75</w:t>
            </w:r>
          </w:p>
        </w:tc>
        <w:tc>
          <w:tcPr>
            <w:tcW w:w="915" w:type="dxa"/>
            <w:noWrap w:val="0"/>
            <w:vAlign w:val="center"/>
          </w:tcPr>
          <w:p w14:paraId="3428C39B">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2.36</w:t>
            </w:r>
          </w:p>
        </w:tc>
        <w:tc>
          <w:tcPr>
            <w:tcW w:w="805" w:type="dxa"/>
            <w:noWrap w:val="0"/>
            <w:vAlign w:val="center"/>
          </w:tcPr>
          <w:p w14:paraId="05AD074B">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0.6</w:t>
            </w:r>
          </w:p>
        </w:tc>
        <w:tc>
          <w:tcPr>
            <w:tcW w:w="841" w:type="dxa"/>
            <w:noWrap w:val="0"/>
            <w:vAlign w:val="center"/>
          </w:tcPr>
          <w:p w14:paraId="7B861303">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0.075</w:t>
            </w:r>
          </w:p>
        </w:tc>
      </w:tr>
      <w:tr w14:paraId="69B5F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2118" w:type="dxa"/>
            <w:noWrap w:val="0"/>
            <w:vAlign w:val="center"/>
          </w:tcPr>
          <w:p w14:paraId="6D8F332B">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通过质量百分率（%）</w:t>
            </w:r>
          </w:p>
        </w:tc>
        <w:tc>
          <w:tcPr>
            <w:tcW w:w="1169" w:type="dxa"/>
            <w:noWrap w:val="0"/>
            <w:vAlign w:val="center"/>
          </w:tcPr>
          <w:p w14:paraId="3A5E271A">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85~100</w:t>
            </w:r>
          </w:p>
        </w:tc>
        <w:tc>
          <w:tcPr>
            <w:tcW w:w="990" w:type="dxa"/>
            <w:noWrap w:val="0"/>
            <w:vAlign w:val="center"/>
          </w:tcPr>
          <w:p w14:paraId="4A19122F">
            <w:pPr>
              <w:pStyle w:val="296"/>
              <w:jc w:val="both"/>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69~88</w:t>
            </w:r>
          </w:p>
        </w:tc>
        <w:tc>
          <w:tcPr>
            <w:tcW w:w="890" w:type="dxa"/>
            <w:noWrap w:val="0"/>
            <w:vAlign w:val="center"/>
          </w:tcPr>
          <w:p w14:paraId="7D1647FA">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40~65</w:t>
            </w:r>
          </w:p>
        </w:tc>
        <w:tc>
          <w:tcPr>
            <w:tcW w:w="1011" w:type="dxa"/>
            <w:noWrap w:val="0"/>
            <w:vAlign w:val="center"/>
          </w:tcPr>
          <w:p w14:paraId="064C2656">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19~43</w:t>
            </w:r>
          </w:p>
        </w:tc>
        <w:tc>
          <w:tcPr>
            <w:tcW w:w="777" w:type="dxa"/>
            <w:noWrap w:val="0"/>
            <w:vAlign w:val="center"/>
          </w:tcPr>
          <w:p w14:paraId="6225790D">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10~30</w:t>
            </w:r>
          </w:p>
        </w:tc>
        <w:tc>
          <w:tcPr>
            <w:tcW w:w="915" w:type="dxa"/>
            <w:noWrap w:val="0"/>
            <w:vAlign w:val="center"/>
          </w:tcPr>
          <w:p w14:paraId="5F53F011">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8~25</w:t>
            </w:r>
          </w:p>
        </w:tc>
        <w:tc>
          <w:tcPr>
            <w:tcW w:w="805" w:type="dxa"/>
            <w:noWrap w:val="0"/>
            <w:vAlign w:val="center"/>
          </w:tcPr>
          <w:p w14:paraId="45310EDF">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6~18</w:t>
            </w:r>
          </w:p>
        </w:tc>
        <w:tc>
          <w:tcPr>
            <w:tcW w:w="841" w:type="dxa"/>
            <w:noWrap w:val="0"/>
            <w:vAlign w:val="center"/>
          </w:tcPr>
          <w:p w14:paraId="3AC04353">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0~10</w:t>
            </w:r>
          </w:p>
        </w:tc>
      </w:tr>
    </w:tbl>
    <w:p w14:paraId="508FCA11">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⑤级配碎石的压碎值：＜35%。</w:t>
      </w:r>
    </w:p>
    <w:p w14:paraId="4175F2A5">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⑥碎石应该为多棱角块体，软弱颗粒含量应该小于5%；扁平细长碎石含量应小于20%。</w:t>
      </w:r>
    </w:p>
    <w:p w14:paraId="5D1DABDC">
      <w:pPr>
        <w:keepNext/>
        <w:keepLines/>
        <w:pageBreakBefore w:val="0"/>
        <w:widowControl w:val="0"/>
        <w:numPr>
          <w:ilvl w:val="0"/>
          <w:numId w:val="0"/>
        </w:numPr>
        <w:kinsoku/>
        <w:wordWrap/>
        <w:overflowPunct/>
        <w:topLinePunct w:val="0"/>
        <w:autoSpaceDE/>
        <w:autoSpaceDN/>
        <w:bidi w:val="0"/>
        <w:adjustRightInd w:val="0"/>
        <w:snapToGrid w:val="0"/>
        <w:spacing w:before="164" w:beforeLines="50" w:after="164" w:afterLines="50" w:line="360" w:lineRule="auto"/>
        <w:ind w:leftChars="0"/>
        <w:textAlignment w:val="auto"/>
        <w:outlineLvl w:val="1"/>
        <w:rPr>
          <w:rFonts w:hint="eastAsia" w:ascii="仿宋" w:hAnsi="仿宋" w:eastAsia="仿宋" w:cs="仿宋"/>
          <w:b/>
          <w:bCs/>
          <w:color w:val="auto"/>
          <w:sz w:val="28"/>
          <w:szCs w:val="28"/>
          <w:highlight w:val="none"/>
          <w:lang w:val="en-US" w:eastAsia="zh-CN"/>
        </w:rPr>
      </w:pPr>
      <w:r>
        <w:rPr>
          <w:rFonts w:hint="eastAsia" w:ascii="仿宋" w:hAnsi="仿宋" w:eastAsia="仿宋" w:cs="仿宋"/>
          <w:b/>
          <w:bCs/>
          <w:color w:val="auto"/>
          <w:sz w:val="28"/>
          <w:szCs w:val="28"/>
          <w:highlight w:val="none"/>
          <w:lang w:val="en-US" w:eastAsia="zh-CN"/>
        </w:rPr>
        <w:t>6.3砼基层</w:t>
      </w:r>
    </w:p>
    <w:p w14:paraId="68534D71">
      <w:pPr>
        <w:keepNext/>
        <w:keepLines/>
        <w:numPr>
          <w:ilvl w:val="0"/>
          <w:numId w:val="0"/>
        </w:numPr>
        <w:ind w:leftChars="0"/>
        <w:outlineLvl w:val="2"/>
        <w:rPr>
          <w:rFonts w:hint="eastAsia" w:ascii="仿宋" w:hAnsi="仿宋" w:eastAsia="仿宋" w:cs="仿宋"/>
          <w:b/>
          <w:bCs/>
          <w:color w:val="auto"/>
          <w:szCs w:val="32"/>
          <w:highlight w:val="none"/>
          <w:lang w:val="en-US" w:eastAsia="zh-CN"/>
        </w:rPr>
      </w:pPr>
      <w:r>
        <w:rPr>
          <w:rFonts w:hint="eastAsia" w:ascii="仿宋" w:hAnsi="仿宋" w:eastAsia="仿宋" w:cs="仿宋"/>
          <w:b/>
          <w:bCs/>
          <w:color w:val="auto"/>
          <w:szCs w:val="32"/>
          <w:highlight w:val="none"/>
          <w:lang w:val="en-US" w:eastAsia="zh-CN"/>
        </w:rPr>
        <w:t>6.3.1质量标准</w:t>
      </w:r>
    </w:p>
    <w:p w14:paraId="15C320C0">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技术指标：</w:t>
      </w:r>
    </w:p>
    <w:p w14:paraId="56774253">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抗弯拉强度标准值：C30砼≥4.0MPa、C20砼≥3.0MPa</w:t>
      </w:r>
    </w:p>
    <w:p w14:paraId="2C9698D6">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平整度：最大间隙不大于5mm、标准差不大于2mm；</w:t>
      </w:r>
    </w:p>
    <w:p w14:paraId="0557B598">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相邻板高差：不大于3mm；</w:t>
      </w:r>
    </w:p>
    <w:p w14:paraId="09030D9A">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纵缝直顺度：不大于10mm；</w:t>
      </w:r>
    </w:p>
    <w:p w14:paraId="1F414555">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横缝直顺度：不大于10mm；</w:t>
      </w:r>
    </w:p>
    <w:p w14:paraId="73B251FD">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板宽：0mm，－20mm；</w:t>
      </w:r>
    </w:p>
    <w:p w14:paraId="0884817E">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厚度：+5mm；</w:t>
      </w:r>
    </w:p>
    <w:p w14:paraId="03871084">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高程：+15mm；</w:t>
      </w:r>
    </w:p>
    <w:p w14:paraId="709326B6">
      <w:pPr>
        <w:rPr>
          <w:rFonts w:hint="eastAsia" w:ascii="仿宋" w:hAnsi="仿宋" w:eastAsia="仿宋" w:cs="仿宋"/>
          <w:color w:val="auto"/>
          <w:sz w:val="24"/>
          <w:szCs w:val="24"/>
          <w:highlight w:val="none"/>
          <w:lang w:val="en-US" w:eastAsia="zh-CN"/>
        </w:rPr>
      </w:pPr>
      <w:r>
        <w:rPr>
          <w:rFonts w:hint="eastAsia" w:ascii="仿宋" w:hAnsi="仿宋" w:eastAsia="仿宋" w:cs="仿宋"/>
          <w:color w:val="auto"/>
          <w:highlight w:val="none"/>
          <w:lang w:val="en-US" w:eastAsia="zh-CN"/>
        </w:rPr>
        <w:t>路拱横坡度：+0.25％且不反坡</w:t>
      </w:r>
      <w:r>
        <w:rPr>
          <w:rFonts w:hint="eastAsia" w:ascii="仿宋" w:hAnsi="仿宋" w:eastAsia="仿宋" w:cs="仿宋"/>
          <w:color w:val="auto"/>
          <w:sz w:val="24"/>
          <w:szCs w:val="24"/>
          <w:highlight w:val="none"/>
          <w:lang w:val="en-US" w:eastAsia="zh-CN"/>
        </w:rPr>
        <w:t>。</w:t>
      </w:r>
    </w:p>
    <w:p w14:paraId="0DF47553">
      <w:pPr>
        <w:keepNext/>
        <w:keepLines/>
        <w:numPr>
          <w:ilvl w:val="0"/>
          <w:numId w:val="0"/>
        </w:numPr>
        <w:ind w:leftChars="0"/>
        <w:outlineLvl w:val="2"/>
        <w:rPr>
          <w:rFonts w:hint="eastAsia" w:ascii="仿宋" w:hAnsi="仿宋" w:eastAsia="仿宋" w:cs="仿宋"/>
          <w:b/>
          <w:bCs/>
          <w:color w:val="auto"/>
          <w:szCs w:val="32"/>
          <w:highlight w:val="none"/>
          <w:lang w:val="en-US" w:eastAsia="zh-CN"/>
        </w:rPr>
      </w:pPr>
      <w:r>
        <w:rPr>
          <w:rFonts w:hint="eastAsia" w:ascii="仿宋" w:hAnsi="仿宋" w:eastAsia="仿宋" w:cs="仿宋"/>
          <w:b/>
          <w:bCs/>
          <w:color w:val="auto"/>
          <w:szCs w:val="32"/>
          <w:highlight w:val="none"/>
          <w:lang w:val="en-US" w:eastAsia="zh-CN"/>
        </w:rPr>
        <w:t>6.3.2混凝土外观质量要求</w:t>
      </w:r>
    </w:p>
    <w:p w14:paraId="76AB7829">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混凝土表面不得有脱皮、印痕、裂缝、石子外露和缺边掉角现象。板面边角应整齐，不得有大于0.5mm的裂缝，并不得有石子外露和浮浆、脱皮、印痕、积水等现象。</w:t>
      </w:r>
    </w:p>
    <w:p w14:paraId="6BEAB8D1">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路面边线、中线直线段应顺直，曲线段应圆滑。</w:t>
      </w:r>
    </w:p>
    <w:p w14:paraId="7E7C972C">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伸缩缝必须垂直，全部贯通。</w:t>
      </w:r>
    </w:p>
    <w:p w14:paraId="24AEF52D">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混凝土面层应拉毛，其平均纹理深度应为1~2mm。</w:t>
      </w:r>
    </w:p>
    <w:p w14:paraId="10EB0F63">
      <w:pPr>
        <w:keepNext/>
        <w:keepLines/>
        <w:numPr>
          <w:ilvl w:val="0"/>
          <w:numId w:val="0"/>
        </w:numPr>
        <w:ind w:leftChars="0"/>
        <w:outlineLvl w:val="2"/>
        <w:rPr>
          <w:rFonts w:hint="eastAsia" w:ascii="仿宋" w:hAnsi="仿宋" w:eastAsia="仿宋" w:cs="仿宋"/>
          <w:b/>
          <w:bCs/>
          <w:color w:val="auto"/>
          <w:szCs w:val="32"/>
          <w:highlight w:val="none"/>
          <w:lang w:val="en-US" w:eastAsia="zh-CN"/>
        </w:rPr>
      </w:pPr>
      <w:r>
        <w:rPr>
          <w:rFonts w:hint="eastAsia" w:ascii="仿宋" w:hAnsi="仿宋" w:eastAsia="仿宋" w:cs="仿宋"/>
          <w:b/>
          <w:bCs/>
          <w:color w:val="auto"/>
          <w:szCs w:val="32"/>
          <w:highlight w:val="none"/>
          <w:lang w:val="en-US" w:eastAsia="zh-CN"/>
        </w:rPr>
        <w:t>6.3.3材料要求</w:t>
      </w:r>
    </w:p>
    <w:p w14:paraId="4D3AB17C">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（1）水泥</w:t>
      </w:r>
    </w:p>
    <w:p w14:paraId="3FD9F271">
      <w:pPr>
        <w:rPr>
          <w:rFonts w:hint="eastAsia" w:ascii="仿宋" w:hAnsi="仿宋" w:eastAsia="仿宋" w:cs="仿宋"/>
          <w:color w:val="auto"/>
          <w:sz w:val="24"/>
          <w:szCs w:val="24"/>
          <w:highlight w:val="none"/>
          <w:lang w:val="en-US" w:eastAsia="zh-CN"/>
        </w:rPr>
      </w:pPr>
      <w:r>
        <w:rPr>
          <w:rFonts w:hint="eastAsia" w:ascii="仿宋" w:hAnsi="仿宋" w:eastAsia="仿宋" w:cs="仿宋"/>
          <w:color w:val="auto"/>
          <w:highlight w:val="none"/>
          <w:lang w:val="en-US" w:eastAsia="zh-CN"/>
        </w:rPr>
        <w:t>用于混凝土板的水泥应采用强度高，收缩性小，耐磨性强抗冻性好，并且其物理性能化学成份应符合国家标准规定的水泥，多用硅酸盐水泥、普通硅酸盐水泥和道路硅酸盐水泥，水泥标号不宜低于42.5号，进场水泥应有产品合格证及化验单，出厂期超过三个月或受潮的水泥应经试验决定正常使用或降级使用，已结块或变质水泥不得使用。施工时混凝土的配合比应针对砼特点，提供砂的细度模数、外加剂掺量及骨料品质等控制指标。</w:t>
      </w:r>
    </w:p>
    <w:p w14:paraId="2B07E283">
      <w:pPr>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水泥的化学成分和物理指标</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68"/>
        <w:gridCol w:w="6960"/>
      </w:tblGrid>
      <w:tr w14:paraId="4F891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60" w:type="dxa"/>
            <w:tcBorders>
              <w:top w:val="single" w:color="000000" w:sz="4" w:space="0"/>
              <w:left w:val="single" w:color="000000" w:sz="4" w:space="0"/>
              <w:bottom w:val="single" w:color="000000" w:sz="4" w:space="0"/>
              <w:right w:val="single" w:color="000000" w:sz="4" w:space="0"/>
              <w:tl2br w:val="single" w:color="000000" w:sz="4" w:space="0"/>
            </w:tcBorders>
            <w:noWrap w:val="0"/>
            <w:vAlign w:val="center"/>
          </w:tcPr>
          <w:p w14:paraId="59E37DE5">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交通等级</w:t>
            </w:r>
          </w:p>
          <w:p w14:paraId="50ACD5FF">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水泥性能</w:t>
            </w:r>
          </w:p>
        </w:tc>
        <w:tc>
          <w:tcPr>
            <w:tcW w:w="6960" w:type="dxa"/>
            <w:tcBorders>
              <w:top w:val="single" w:color="000000" w:sz="4" w:space="0"/>
              <w:left w:val="single" w:color="000000" w:sz="4" w:space="0"/>
            </w:tcBorders>
            <w:noWrap w:val="0"/>
            <w:vAlign w:val="center"/>
          </w:tcPr>
          <w:p w14:paraId="3CD75498">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中、轻交通</w:t>
            </w:r>
          </w:p>
        </w:tc>
      </w:tr>
      <w:tr w14:paraId="29B3E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60" w:type="dxa"/>
            <w:tcBorders>
              <w:top w:val="single" w:color="000000" w:sz="4" w:space="0"/>
            </w:tcBorders>
            <w:noWrap w:val="0"/>
            <w:vAlign w:val="center"/>
          </w:tcPr>
          <w:p w14:paraId="5AAECF09">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铝酸三钙</w:t>
            </w:r>
          </w:p>
        </w:tc>
        <w:tc>
          <w:tcPr>
            <w:tcW w:w="6960" w:type="dxa"/>
            <w:noWrap w:val="0"/>
            <w:vAlign w:val="center"/>
          </w:tcPr>
          <w:p w14:paraId="2A0431E4">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不宜大于9.0%</w:t>
            </w:r>
          </w:p>
        </w:tc>
      </w:tr>
      <w:tr w14:paraId="49C46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60" w:type="dxa"/>
            <w:noWrap w:val="0"/>
            <w:vAlign w:val="center"/>
          </w:tcPr>
          <w:p w14:paraId="59D7C6F5">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铁铝酸四钙</w:t>
            </w:r>
          </w:p>
        </w:tc>
        <w:tc>
          <w:tcPr>
            <w:tcW w:w="6960" w:type="dxa"/>
            <w:noWrap w:val="0"/>
            <w:vAlign w:val="center"/>
          </w:tcPr>
          <w:p w14:paraId="13CB0F33">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不宜小于12.0%</w:t>
            </w:r>
          </w:p>
        </w:tc>
      </w:tr>
      <w:tr w14:paraId="4ACA8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60" w:type="dxa"/>
            <w:noWrap w:val="0"/>
            <w:vAlign w:val="center"/>
          </w:tcPr>
          <w:p w14:paraId="73EE57A9">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游离氧化钙</w:t>
            </w:r>
          </w:p>
        </w:tc>
        <w:tc>
          <w:tcPr>
            <w:tcW w:w="6960" w:type="dxa"/>
            <w:noWrap w:val="0"/>
            <w:vAlign w:val="center"/>
          </w:tcPr>
          <w:p w14:paraId="5A942F1B">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不得大于1.5%</w:t>
            </w:r>
          </w:p>
        </w:tc>
      </w:tr>
      <w:tr w14:paraId="63B07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60" w:type="dxa"/>
            <w:noWrap w:val="0"/>
            <w:vAlign w:val="center"/>
          </w:tcPr>
          <w:p w14:paraId="6689F46D">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氧化镁</w:t>
            </w:r>
          </w:p>
        </w:tc>
        <w:tc>
          <w:tcPr>
            <w:tcW w:w="6960" w:type="dxa"/>
            <w:noWrap w:val="0"/>
            <w:vAlign w:val="center"/>
          </w:tcPr>
          <w:p w14:paraId="37654F45">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不得大于6.0%</w:t>
            </w:r>
          </w:p>
        </w:tc>
      </w:tr>
      <w:tr w14:paraId="5DF53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60" w:type="dxa"/>
            <w:noWrap w:val="0"/>
            <w:vAlign w:val="center"/>
          </w:tcPr>
          <w:p w14:paraId="4F924D6B">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三氧化硫</w:t>
            </w:r>
          </w:p>
        </w:tc>
        <w:tc>
          <w:tcPr>
            <w:tcW w:w="6960" w:type="dxa"/>
            <w:noWrap w:val="0"/>
            <w:vAlign w:val="center"/>
          </w:tcPr>
          <w:p w14:paraId="70042925">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不得大于4.0%</w:t>
            </w:r>
          </w:p>
        </w:tc>
      </w:tr>
      <w:tr w14:paraId="54BDF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60" w:type="dxa"/>
            <w:noWrap w:val="0"/>
            <w:vAlign w:val="center"/>
          </w:tcPr>
          <w:p w14:paraId="5E2CD568">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碱含量</w:t>
            </w:r>
          </w:p>
          <w:p w14:paraId="5EBE8FE9">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（Na2O+0.65K2O）</w:t>
            </w:r>
          </w:p>
        </w:tc>
        <w:tc>
          <w:tcPr>
            <w:tcW w:w="6960" w:type="dxa"/>
            <w:noWrap w:val="0"/>
            <w:vAlign w:val="center"/>
          </w:tcPr>
          <w:p w14:paraId="291E7928">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怀疑有碱活性集料时,≤0.6%；</w:t>
            </w:r>
          </w:p>
          <w:p w14:paraId="78289974">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无碱活性集料时，≤1.0%</w:t>
            </w:r>
          </w:p>
        </w:tc>
      </w:tr>
      <w:tr w14:paraId="3BE0F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60" w:type="dxa"/>
            <w:noWrap w:val="0"/>
            <w:vAlign w:val="center"/>
          </w:tcPr>
          <w:p w14:paraId="2742951D">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混合材种类</w:t>
            </w:r>
          </w:p>
        </w:tc>
        <w:tc>
          <w:tcPr>
            <w:tcW w:w="6960" w:type="dxa"/>
            <w:noWrap w:val="0"/>
            <w:vAlign w:val="center"/>
          </w:tcPr>
          <w:p w14:paraId="4A220EC5">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不得掺窑灰、煤矸石、火山灰和黏土，有抗盐冻要求时不得掺石灰、石粉</w:t>
            </w:r>
          </w:p>
        </w:tc>
      </w:tr>
      <w:tr w14:paraId="0BE7C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60" w:type="dxa"/>
            <w:noWrap w:val="0"/>
            <w:vAlign w:val="center"/>
          </w:tcPr>
          <w:p w14:paraId="4B28C4FB">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出磨时安定性</w:t>
            </w:r>
          </w:p>
        </w:tc>
        <w:tc>
          <w:tcPr>
            <w:tcW w:w="6960" w:type="dxa"/>
            <w:noWrap w:val="0"/>
            <w:vAlign w:val="center"/>
          </w:tcPr>
          <w:p w14:paraId="7C13DEC5">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蒸煮法检验必须合格</w:t>
            </w:r>
          </w:p>
        </w:tc>
      </w:tr>
      <w:tr w14:paraId="05EF7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60" w:type="dxa"/>
            <w:noWrap w:val="0"/>
            <w:vAlign w:val="center"/>
          </w:tcPr>
          <w:p w14:paraId="5C1B13B5">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标准稠度需水量</w:t>
            </w:r>
          </w:p>
        </w:tc>
        <w:tc>
          <w:tcPr>
            <w:tcW w:w="6960" w:type="dxa"/>
            <w:noWrap w:val="0"/>
            <w:vAlign w:val="center"/>
          </w:tcPr>
          <w:p w14:paraId="5A783D62">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不宜大于30%</w:t>
            </w:r>
          </w:p>
        </w:tc>
      </w:tr>
      <w:tr w14:paraId="66A5C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60" w:type="dxa"/>
            <w:noWrap w:val="0"/>
            <w:vAlign w:val="center"/>
          </w:tcPr>
          <w:p w14:paraId="37811968">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烧失量</w:t>
            </w:r>
          </w:p>
        </w:tc>
        <w:tc>
          <w:tcPr>
            <w:tcW w:w="6960" w:type="dxa"/>
            <w:noWrap w:val="0"/>
            <w:vAlign w:val="center"/>
          </w:tcPr>
          <w:p w14:paraId="68E57234">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不得大于5.0%</w:t>
            </w:r>
          </w:p>
        </w:tc>
      </w:tr>
      <w:tr w14:paraId="7B8B4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60" w:type="dxa"/>
            <w:noWrap w:val="0"/>
            <w:vAlign w:val="center"/>
          </w:tcPr>
          <w:p w14:paraId="5DFA07E8">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比表面积</w:t>
            </w:r>
          </w:p>
        </w:tc>
        <w:tc>
          <w:tcPr>
            <w:tcW w:w="6960" w:type="dxa"/>
            <w:noWrap w:val="0"/>
            <w:vAlign w:val="center"/>
          </w:tcPr>
          <w:p w14:paraId="502CAC20">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宜在300～450m2/kg</w:t>
            </w:r>
          </w:p>
        </w:tc>
      </w:tr>
      <w:tr w14:paraId="65082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60" w:type="dxa"/>
            <w:noWrap w:val="0"/>
            <w:vAlign w:val="center"/>
          </w:tcPr>
          <w:p w14:paraId="20164DAC">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细度（80μm）</w:t>
            </w:r>
          </w:p>
        </w:tc>
        <w:tc>
          <w:tcPr>
            <w:tcW w:w="6960" w:type="dxa"/>
            <w:noWrap w:val="0"/>
            <w:vAlign w:val="center"/>
          </w:tcPr>
          <w:p w14:paraId="6151AD09">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筛余量≤10%</w:t>
            </w:r>
          </w:p>
        </w:tc>
      </w:tr>
      <w:tr w14:paraId="2067F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60" w:type="dxa"/>
            <w:noWrap w:val="0"/>
            <w:vAlign w:val="center"/>
          </w:tcPr>
          <w:p w14:paraId="4DA8CF60">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初凝时间</w:t>
            </w:r>
          </w:p>
        </w:tc>
        <w:tc>
          <w:tcPr>
            <w:tcW w:w="6960" w:type="dxa"/>
            <w:noWrap w:val="0"/>
            <w:vAlign w:val="center"/>
          </w:tcPr>
          <w:p w14:paraId="00E9DADE">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≥1.5h</w:t>
            </w:r>
          </w:p>
        </w:tc>
      </w:tr>
      <w:tr w14:paraId="69E6E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60" w:type="dxa"/>
            <w:noWrap w:val="0"/>
            <w:vAlign w:val="center"/>
          </w:tcPr>
          <w:p w14:paraId="6632BAE1">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终凝时间</w:t>
            </w:r>
          </w:p>
        </w:tc>
        <w:tc>
          <w:tcPr>
            <w:tcW w:w="6960" w:type="dxa"/>
            <w:noWrap w:val="0"/>
            <w:vAlign w:val="center"/>
          </w:tcPr>
          <w:p w14:paraId="460A4673">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≤10h</w:t>
            </w:r>
          </w:p>
        </w:tc>
      </w:tr>
      <w:tr w14:paraId="6FA63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60" w:type="dxa"/>
            <w:noWrap w:val="0"/>
            <w:vAlign w:val="center"/>
          </w:tcPr>
          <w:p w14:paraId="7F24CF86">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28d干缩率*</w:t>
            </w:r>
          </w:p>
        </w:tc>
        <w:tc>
          <w:tcPr>
            <w:tcW w:w="6960" w:type="dxa"/>
            <w:noWrap w:val="0"/>
            <w:vAlign w:val="center"/>
          </w:tcPr>
          <w:p w14:paraId="106D81FD">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不得大于0.10%</w:t>
            </w:r>
          </w:p>
        </w:tc>
      </w:tr>
      <w:tr w14:paraId="5F07D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60" w:type="dxa"/>
            <w:noWrap w:val="0"/>
            <w:vAlign w:val="center"/>
          </w:tcPr>
          <w:p w14:paraId="38BE3022">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耐磨性*</w:t>
            </w:r>
          </w:p>
        </w:tc>
        <w:tc>
          <w:tcPr>
            <w:tcW w:w="6960" w:type="dxa"/>
            <w:noWrap w:val="0"/>
            <w:vAlign w:val="center"/>
          </w:tcPr>
          <w:p w14:paraId="59CD9761">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≤3.6Kg/m</w:t>
            </w:r>
            <w:r>
              <w:rPr>
                <w:rFonts w:hint="eastAsia" w:ascii="仿宋" w:hAnsi="仿宋" w:eastAsia="仿宋" w:cs="仿宋"/>
                <w:color w:val="auto"/>
                <w:highlight w:val="none"/>
                <w:vertAlign w:val="superscript"/>
                <w:lang w:val="en-US" w:eastAsia="zh-CN"/>
              </w:rPr>
              <w:t>2</w:t>
            </w:r>
          </w:p>
        </w:tc>
      </w:tr>
    </w:tbl>
    <w:p w14:paraId="42945303">
      <w:pPr>
        <w:keepNext w:val="0"/>
        <w:keepLines w:val="0"/>
        <w:pageBreakBefore w:val="0"/>
        <w:kinsoku/>
        <w:wordWrap/>
        <w:overflowPunct/>
        <w:topLinePunct w:val="0"/>
        <w:autoSpaceDE w:val="0"/>
        <w:autoSpaceDN w:val="0"/>
        <w:bidi w:val="0"/>
        <w:adjustRightInd w:val="0"/>
        <w:spacing w:line="500" w:lineRule="exact"/>
        <w:ind w:firstLine="615"/>
        <w:textAlignment w:val="auto"/>
        <w:outlineLvl w:val="9"/>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（2）细集料</w:t>
      </w:r>
    </w:p>
    <w:p w14:paraId="59D58DBD">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应采用洁净、坚硬、符合规定级配、细度模数在2.5以上的粗、中砂、砂的质量应符合下表技术要求。</w:t>
      </w:r>
    </w:p>
    <w:p w14:paraId="2ECC2753">
      <w:pPr>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砂的技术指标</w:t>
      </w:r>
    </w:p>
    <w:tbl>
      <w:tblPr>
        <w:tblStyle w:val="88"/>
        <w:tblW w:w="9333" w:type="dxa"/>
        <w:jc w:val="center"/>
        <w:tblLayout w:type="fixed"/>
        <w:tblCellMar>
          <w:top w:w="0" w:type="dxa"/>
          <w:left w:w="108" w:type="dxa"/>
          <w:bottom w:w="0" w:type="dxa"/>
          <w:right w:w="108" w:type="dxa"/>
        </w:tblCellMar>
      </w:tblPr>
      <w:tblGrid>
        <w:gridCol w:w="530"/>
        <w:gridCol w:w="1336"/>
        <w:gridCol w:w="783"/>
        <w:gridCol w:w="1114"/>
        <w:gridCol w:w="1114"/>
        <w:gridCol w:w="1114"/>
        <w:gridCol w:w="1114"/>
        <w:gridCol w:w="1114"/>
        <w:gridCol w:w="1114"/>
      </w:tblGrid>
      <w:tr w14:paraId="57FE699A">
        <w:tblPrEx>
          <w:tblCellMar>
            <w:top w:w="0" w:type="dxa"/>
            <w:left w:w="108" w:type="dxa"/>
            <w:bottom w:w="0" w:type="dxa"/>
            <w:right w:w="108" w:type="dxa"/>
          </w:tblCellMar>
        </w:tblPrEx>
        <w:trPr>
          <w:trHeight w:val="108" w:hRule="atLeast"/>
          <w:jc w:val="center"/>
        </w:trPr>
        <w:tc>
          <w:tcPr>
            <w:tcW w:w="2649" w:type="dxa"/>
            <w:gridSpan w:val="3"/>
            <w:tcBorders>
              <w:top w:val="single" w:color="auto" w:sz="6" w:space="0"/>
              <w:left w:val="single" w:color="auto" w:sz="6" w:space="0"/>
              <w:bottom w:val="single" w:color="auto" w:sz="6" w:space="0"/>
              <w:right w:val="single" w:color="auto" w:sz="6" w:space="0"/>
            </w:tcBorders>
            <w:noWrap w:val="0"/>
            <w:vAlign w:val="center"/>
          </w:tcPr>
          <w:p w14:paraId="4A19C8E5">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项    目</w:t>
            </w:r>
          </w:p>
        </w:tc>
        <w:tc>
          <w:tcPr>
            <w:tcW w:w="6684" w:type="dxa"/>
            <w:gridSpan w:val="6"/>
            <w:tcBorders>
              <w:top w:val="single" w:color="auto" w:sz="6" w:space="0"/>
              <w:left w:val="single" w:color="auto" w:sz="6" w:space="0"/>
              <w:bottom w:val="single" w:color="auto" w:sz="6" w:space="0"/>
              <w:right w:val="single" w:color="auto" w:sz="6" w:space="0"/>
            </w:tcBorders>
            <w:noWrap w:val="0"/>
            <w:vAlign w:val="center"/>
          </w:tcPr>
          <w:p w14:paraId="48F2984B">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技  术  要  求</w:t>
            </w:r>
          </w:p>
        </w:tc>
      </w:tr>
      <w:tr w14:paraId="0787A7C4">
        <w:tblPrEx>
          <w:tblCellMar>
            <w:top w:w="0" w:type="dxa"/>
            <w:left w:w="108" w:type="dxa"/>
            <w:bottom w:w="0" w:type="dxa"/>
            <w:right w:w="108" w:type="dxa"/>
          </w:tblCellMar>
        </w:tblPrEx>
        <w:trPr>
          <w:cantSplit/>
          <w:trHeight w:val="45" w:hRule="atLeast"/>
          <w:jc w:val="center"/>
        </w:trPr>
        <w:tc>
          <w:tcPr>
            <w:tcW w:w="530" w:type="dxa"/>
            <w:vMerge w:val="restart"/>
            <w:tcBorders>
              <w:top w:val="single" w:color="auto" w:sz="6" w:space="0"/>
              <w:left w:val="single" w:color="auto" w:sz="6" w:space="0"/>
              <w:right w:val="single" w:color="auto" w:sz="6" w:space="0"/>
            </w:tcBorders>
            <w:noWrap w:val="0"/>
            <w:vAlign w:val="center"/>
          </w:tcPr>
          <w:p w14:paraId="1D587F61">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颗</w:t>
            </w:r>
          </w:p>
          <w:p w14:paraId="48FCAD2E">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粒</w:t>
            </w:r>
          </w:p>
          <w:p w14:paraId="0427B2BC">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级</w:t>
            </w:r>
          </w:p>
          <w:p w14:paraId="447D328D">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配</w:t>
            </w:r>
          </w:p>
        </w:tc>
        <w:tc>
          <w:tcPr>
            <w:tcW w:w="2119" w:type="dxa"/>
            <w:gridSpan w:val="2"/>
            <w:vMerge w:val="restart"/>
            <w:tcBorders>
              <w:top w:val="single" w:color="auto" w:sz="6" w:space="0"/>
              <w:left w:val="single" w:color="auto" w:sz="6" w:space="0"/>
              <w:bottom w:val="nil"/>
              <w:right w:val="single" w:color="auto" w:sz="6" w:space="0"/>
            </w:tcBorders>
            <w:noWrap w:val="0"/>
            <w:vAlign w:val="center"/>
          </w:tcPr>
          <w:p w14:paraId="21B73ABF">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筛孔尺寸（mm）</w:t>
            </w:r>
          </w:p>
        </w:tc>
        <w:tc>
          <w:tcPr>
            <w:tcW w:w="6684" w:type="dxa"/>
            <w:gridSpan w:val="6"/>
            <w:tcBorders>
              <w:top w:val="single" w:color="auto" w:sz="6" w:space="0"/>
              <w:left w:val="single" w:color="auto" w:sz="6" w:space="0"/>
              <w:bottom w:val="single" w:color="auto" w:sz="6" w:space="0"/>
              <w:right w:val="single" w:color="auto" w:sz="6" w:space="0"/>
            </w:tcBorders>
            <w:noWrap w:val="0"/>
            <w:vAlign w:val="center"/>
          </w:tcPr>
          <w:p w14:paraId="51343D76">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粒    径</w:t>
            </w:r>
          </w:p>
        </w:tc>
      </w:tr>
      <w:tr w14:paraId="1E3D1026">
        <w:tblPrEx>
          <w:tblCellMar>
            <w:top w:w="0" w:type="dxa"/>
            <w:left w:w="108" w:type="dxa"/>
            <w:bottom w:w="0" w:type="dxa"/>
            <w:right w:w="108" w:type="dxa"/>
          </w:tblCellMar>
        </w:tblPrEx>
        <w:trPr>
          <w:cantSplit/>
          <w:trHeight w:val="331" w:hRule="atLeast"/>
          <w:jc w:val="center"/>
        </w:trPr>
        <w:tc>
          <w:tcPr>
            <w:tcW w:w="530" w:type="dxa"/>
            <w:vMerge w:val="continue"/>
            <w:tcBorders>
              <w:left w:val="single" w:color="auto" w:sz="6" w:space="0"/>
              <w:right w:val="single" w:color="auto" w:sz="6" w:space="0"/>
            </w:tcBorders>
            <w:noWrap w:val="0"/>
            <w:vAlign w:val="center"/>
          </w:tcPr>
          <w:p w14:paraId="4A9034AD">
            <w:pPr>
              <w:pStyle w:val="296"/>
              <w:rPr>
                <w:rFonts w:hint="eastAsia" w:ascii="仿宋" w:hAnsi="仿宋" w:eastAsia="仿宋" w:cs="仿宋"/>
                <w:color w:val="auto"/>
                <w:highlight w:val="none"/>
                <w:lang w:val="en-US" w:eastAsia="zh-CN"/>
              </w:rPr>
            </w:pPr>
          </w:p>
        </w:tc>
        <w:tc>
          <w:tcPr>
            <w:tcW w:w="0" w:type="auto"/>
            <w:gridSpan w:val="2"/>
            <w:vMerge w:val="continue"/>
            <w:tcBorders>
              <w:top w:val="nil"/>
              <w:left w:val="single" w:color="auto" w:sz="6" w:space="0"/>
              <w:bottom w:val="single" w:color="auto" w:sz="6" w:space="0"/>
              <w:right w:val="single" w:color="auto" w:sz="6" w:space="0"/>
            </w:tcBorders>
            <w:noWrap w:val="0"/>
            <w:vAlign w:val="center"/>
          </w:tcPr>
          <w:p w14:paraId="51E2F2D3">
            <w:pPr>
              <w:pStyle w:val="296"/>
              <w:rPr>
                <w:rFonts w:hint="eastAsia" w:ascii="仿宋" w:hAnsi="仿宋" w:eastAsia="仿宋" w:cs="仿宋"/>
                <w:color w:val="auto"/>
                <w:highlight w:val="none"/>
                <w:lang w:val="en-US" w:eastAsia="zh-CN"/>
              </w:rPr>
            </w:pPr>
          </w:p>
        </w:tc>
        <w:tc>
          <w:tcPr>
            <w:tcW w:w="1114" w:type="dxa"/>
            <w:tcBorders>
              <w:top w:val="single" w:color="auto" w:sz="6" w:space="0"/>
              <w:left w:val="single" w:color="auto" w:sz="6" w:space="0"/>
              <w:bottom w:val="single" w:color="auto" w:sz="6" w:space="0"/>
              <w:right w:val="single" w:color="auto" w:sz="6" w:space="0"/>
            </w:tcBorders>
            <w:noWrap w:val="0"/>
            <w:vAlign w:val="center"/>
          </w:tcPr>
          <w:p w14:paraId="1CB3EB86">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0.15</w:t>
            </w:r>
          </w:p>
        </w:tc>
        <w:tc>
          <w:tcPr>
            <w:tcW w:w="1114" w:type="dxa"/>
            <w:tcBorders>
              <w:top w:val="single" w:color="auto" w:sz="6" w:space="0"/>
              <w:left w:val="single" w:color="auto" w:sz="6" w:space="0"/>
              <w:bottom w:val="single" w:color="auto" w:sz="6" w:space="0"/>
              <w:right w:val="single" w:color="auto" w:sz="6" w:space="0"/>
            </w:tcBorders>
            <w:noWrap w:val="0"/>
            <w:vAlign w:val="center"/>
          </w:tcPr>
          <w:p w14:paraId="424B063E">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0.30</w:t>
            </w:r>
          </w:p>
        </w:tc>
        <w:tc>
          <w:tcPr>
            <w:tcW w:w="1114" w:type="dxa"/>
            <w:tcBorders>
              <w:top w:val="single" w:color="auto" w:sz="6" w:space="0"/>
              <w:left w:val="single" w:color="auto" w:sz="6" w:space="0"/>
              <w:bottom w:val="single" w:color="auto" w:sz="6" w:space="0"/>
              <w:right w:val="single" w:color="auto" w:sz="6" w:space="0"/>
            </w:tcBorders>
            <w:noWrap w:val="0"/>
            <w:vAlign w:val="center"/>
          </w:tcPr>
          <w:p w14:paraId="4DCAB99A">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0.60</w:t>
            </w:r>
          </w:p>
        </w:tc>
        <w:tc>
          <w:tcPr>
            <w:tcW w:w="1114" w:type="dxa"/>
            <w:tcBorders>
              <w:top w:val="single" w:color="auto" w:sz="6" w:space="0"/>
              <w:left w:val="single" w:color="auto" w:sz="6" w:space="0"/>
              <w:bottom w:val="single" w:color="auto" w:sz="6" w:space="0"/>
              <w:right w:val="single" w:color="auto" w:sz="6" w:space="0"/>
            </w:tcBorders>
            <w:noWrap w:val="0"/>
            <w:vAlign w:val="center"/>
          </w:tcPr>
          <w:p w14:paraId="3790F185">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1.18</w:t>
            </w:r>
          </w:p>
        </w:tc>
        <w:tc>
          <w:tcPr>
            <w:tcW w:w="1114" w:type="dxa"/>
            <w:tcBorders>
              <w:top w:val="single" w:color="auto" w:sz="6" w:space="0"/>
              <w:left w:val="single" w:color="auto" w:sz="6" w:space="0"/>
              <w:bottom w:val="single" w:color="auto" w:sz="6" w:space="0"/>
              <w:right w:val="single" w:color="auto" w:sz="6" w:space="0"/>
            </w:tcBorders>
            <w:noWrap w:val="0"/>
            <w:vAlign w:val="center"/>
          </w:tcPr>
          <w:p w14:paraId="58131992">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2.36</w:t>
            </w:r>
          </w:p>
        </w:tc>
        <w:tc>
          <w:tcPr>
            <w:tcW w:w="1114" w:type="dxa"/>
            <w:tcBorders>
              <w:top w:val="single" w:color="auto" w:sz="6" w:space="0"/>
              <w:left w:val="single" w:color="auto" w:sz="6" w:space="0"/>
              <w:bottom w:val="single" w:color="auto" w:sz="6" w:space="0"/>
              <w:right w:val="single" w:color="auto" w:sz="6" w:space="0"/>
            </w:tcBorders>
            <w:noWrap w:val="0"/>
            <w:vAlign w:val="center"/>
          </w:tcPr>
          <w:p w14:paraId="4651105C">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4.75</w:t>
            </w:r>
          </w:p>
        </w:tc>
      </w:tr>
      <w:tr w14:paraId="6AD882AF">
        <w:tblPrEx>
          <w:tblCellMar>
            <w:top w:w="0" w:type="dxa"/>
            <w:left w:w="108" w:type="dxa"/>
            <w:bottom w:w="0" w:type="dxa"/>
            <w:right w:w="108" w:type="dxa"/>
          </w:tblCellMar>
        </w:tblPrEx>
        <w:trPr>
          <w:cantSplit/>
          <w:trHeight w:val="599" w:hRule="atLeast"/>
          <w:jc w:val="center"/>
        </w:trPr>
        <w:tc>
          <w:tcPr>
            <w:tcW w:w="530" w:type="dxa"/>
            <w:vMerge w:val="continue"/>
            <w:tcBorders>
              <w:left w:val="single" w:color="auto" w:sz="6" w:space="0"/>
              <w:bottom w:val="single" w:color="auto" w:sz="6" w:space="0"/>
              <w:right w:val="single" w:color="auto" w:sz="6" w:space="0"/>
            </w:tcBorders>
            <w:noWrap w:val="0"/>
            <w:vAlign w:val="center"/>
          </w:tcPr>
          <w:p w14:paraId="21A2ED75">
            <w:pPr>
              <w:pStyle w:val="296"/>
              <w:rPr>
                <w:rFonts w:hint="eastAsia" w:ascii="仿宋" w:hAnsi="仿宋" w:eastAsia="仿宋" w:cs="仿宋"/>
                <w:color w:val="auto"/>
                <w:highlight w:val="none"/>
                <w:lang w:val="en-US" w:eastAsia="zh-CN"/>
              </w:rPr>
            </w:pPr>
          </w:p>
        </w:tc>
        <w:tc>
          <w:tcPr>
            <w:tcW w:w="1336" w:type="dxa"/>
            <w:tcBorders>
              <w:top w:val="single" w:color="auto" w:sz="6" w:space="0"/>
              <w:left w:val="single" w:color="auto" w:sz="6" w:space="0"/>
              <w:bottom w:val="single" w:color="auto" w:sz="6" w:space="0"/>
              <w:right w:val="single" w:color="auto" w:sz="6" w:space="0"/>
            </w:tcBorders>
            <w:noWrap w:val="0"/>
            <w:vAlign w:val="center"/>
          </w:tcPr>
          <w:p w14:paraId="2FD88601">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累计筛余量</w:t>
            </w:r>
          </w:p>
          <w:p w14:paraId="7BE8AB6E">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w:t>
            </w:r>
          </w:p>
        </w:tc>
        <w:tc>
          <w:tcPr>
            <w:tcW w:w="783" w:type="dxa"/>
            <w:tcBorders>
              <w:top w:val="single" w:color="auto" w:sz="6" w:space="0"/>
              <w:left w:val="single" w:color="auto" w:sz="6" w:space="0"/>
              <w:bottom w:val="single" w:color="auto" w:sz="6" w:space="0"/>
              <w:right w:val="single" w:color="auto" w:sz="6" w:space="0"/>
            </w:tcBorders>
            <w:noWrap w:val="0"/>
            <w:vAlign w:val="center"/>
          </w:tcPr>
          <w:p w14:paraId="780EE86C">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粗砂</w:t>
            </w:r>
          </w:p>
          <w:p w14:paraId="012D4584">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中砂</w:t>
            </w:r>
          </w:p>
          <w:p w14:paraId="4462C852">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细砂</w:t>
            </w:r>
          </w:p>
        </w:tc>
        <w:tc>
          <w:tcPr>
            <w:tcW w:w="1114" w:type="dxa"/>
            <w:tcBorders>
              <w:top w:val="single" w:color="auto" w:sz="6" w:space="0"/>
              <w:left w:val="single" w:color="auto" w:sz="6" w:space="0"/>
              <w:bottom w:val="single" w:color="auto" w:sz="6" w:space="0"/>
              <w:right w:val="single" w:color="auto" w:sz="6" w:space="0"/>
            </w:tcBorders>
            <w:noWrap w:val="0"/>
            <w:vAlign w:val="center"/>
          </w:tcPr>
          <w:p w14:paraId="6BF29823">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90～100</w:t>
            </w:r>
          </w:p>
          <w:p w14:paraId="23769887">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90～100</w:t>
            </w:r>
          </w:p>
          <w:p w14:paraId="367F0CCE">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90～100</w:t>
            </w:r>
          </w:p>
        </w:tc>
        <w:tc>
          <w:tcPr>
            <w:tcW w:w="1114" w:type="dxa"/>
            <w:tcBorders>
              <w:top w:val="single" w:color="auto" w:sz="6" w:space="0"/>
              <w:left w:val="single" w:color="auto" w:sz="6" w:space="0"/>
              <w:bottom w:val="single" w:color="auto" w:sz="6" w:space="0"/>
              <w:right w:val="single" w:color="auto" w:sz="6" w:space="0"/>
            </w:tcBorders>
            <w:noWrap w:val="0"/>
            <w:vAlign w:val="center"/>
          </w:tcPr>
          <w:p w14:paraId="45089D86">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80～95</w:t>
            </w:r>
          </w:p>
          <w:p w14:paraId="10883602">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70～92</w:t>
            </w:r>
          </w:p>
          <w:p w14:paraId="5AAE0722">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55～85</w:t>
            </w:r>
          </w:p>
        </w:tc>
        <w:tc>
          <w:tcPr>
            <w:tcW w:w="1114" w:type="dxa"/>
            <w:tcBorders>
              <w:top w:val="single" w:color="auto" w:sz="6" w:space="0"/>
              <w:left w:val="single" w:color="auto" w:sz="6" w:space="0"/>
              <w:bottom w:val="single" w:color="auto" w:sz="6" w:space="0"/>
              <w:right w:val="single" w:color="auto" w:sz="6" w:space="0"/>
            </w:tcBorders>
            <w:noWrap w:val="0"/>
            <w:vAlign w:val="center"/>
          </w:tcPr>
          <w:p w14:paraId="08A931C6">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71～85</w:t>
            </w:r>
          </w:p>
          <w:p w14:paraId="7FFFD0C5">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41～70</w:t>
            </w:r>
          </w:p>
          <w:p w14:paraId="373E3037">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16～40</w:t>
            </w:r>
          </w:p>
        </w:tc>
        <w:tc>
          <w:tcPr>
            <w:tcW w:w="1114" w:type="dxa"/>
            <w:tcBorders>
              <w:top w:val="single" w:color="auto" w:sz="6" w:space="0"/>
              <w:left w:val="single" w:color="auto" w:sz="6" w:space="0"/>
              <w:bottom w:val="single" w:color="auto" w:sz="6" w:space="0"/>
              <w:right w:val="single" w:color="auto" w:sz="6" w:space="0"/>
            </w:tcBorders>
            <w:noWrap w:val="0"/>
            <w:vAlign w:val="center"/>
          </w:tcPr>
          <w:p w14:paraId="0806B5DD">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35～65</w:t>
            </w:r>
          </w:p>
          <w:p w14:paraId="1E570187">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10～50</w:t>
            </w:r>
          </w:p>
          <w:p w14:paraId="25DC1B14">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10～25</w:t>
            </w:r>
          </w:p>
        </w:tc>
        <w:tc>
          <w:tcPr>
            <w:tcW w:w="1114" w:type="dxa"/>
            <w:tcBorders>
              <w:top w:val="single" w:color="auto" w:sz="6" w:space="0"/>
              <w:left w:val="single" w:color="auto" w:sz="6" w:space="0"/>
              <w:bottom w:val="single" w:color="auto" w:sz="6" w:space="0"/>
              <w:right w:val="single" w:color="auto" w:sz="6" w:space="0"/>
            </w:tcBorders>
            <w:noWrap w:val="0"/>
            <w:vAlign w:val="center"/>
          </w:tcPr>
          <w:p w14:paraId="03593570">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5～35</w:t>
            </w:r>
          </w:p>
          <w:p w14:paraId="65AF3AFB">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0～25</w:t>
            </w:r>
          </w:p>
          <w:p w14:paraId="6D127A65">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0～15</w:t>
            </w:r>
          </w:p>
        </w:tc>
        <w:tc>
          <w:tcPr>
            <w:tcW w:w="1114" w:type="dxa"/>
            <w:tcBorders>
              <w:top w:val="single" w:color="auto" w:sz="6" w:space="0"/>
              <w:left w:val="single" w:color="auto" w:sz="6" w:space="0"/>
              <w:bottom w:val="single" w:color="auto" w:sz="6" w:space="0"/>
              <w:right w:val="single" w:color="auto" w:sz="6" w:space="0"/>
            </w:tcBorders>
            <w:noWrap w:val="0"/>
            <w:vAlign w:val="center"/>
          </w:tcPr>
          <w:p w14:paraId="03F0CD6B">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0～10</w:t>
            </w:r>
          </w:p>
          <w:p w14:paraId="6E528AA7">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0～10</w:t>
            </w:r>
          </w:p>
          <w:p w14:paraId="34EB4D83">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0～10</w:t>
            </w:r>
          </w:p>
        </w:tc>
      </w:tr>
      <w:tr w14:paraId="3CA34313">
        <w:tblPrEx>
          <w:tblCellMar>
            <w:top w:w="0" w:type="dxa"/>
            <w:left w:w="108" w:type="dxa"/>
            <w:bottom w:w="0" w:type="dxa"/>
            <w:right w:w="108" w:type="dxa"/>
          </w:tblCellMar>
        </w:tblPrEx>
        <w:trPr>
          <w:cantSplit/>
          <w:trHeight w:val="245" w:hRule="atLeast"/>
          <w:jc w:val="center"/>
        </w:trPr>
        <w:tc>
          <w:tcPr>
            <w:tcW w:w="2649" w:type="dxa"/>
            <w:gridSpan w:val="3"/>
            <w:vMerge w:val="restart"/>
            <w:tcBorders>
              <w:top w:val="single" w:color="auto" w:sz="6" w:space="0"/>
              <w:left w:val="single" w:color="auto" w:sz="6" w:space="0"/>
              <w:right w:val="single" w:color="auto" w:sz="6" w:space="0"/>
            </w:tcBorders>
            <w:noWrap w:val="0"/>
            <w:vAlign w:val="center"/>
          </w:tcPr>
          <w:p w14:paraId="25960DFD">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泥土杂物含量</w:t>
            </w:r>
          </w:p>
          <w:p w14:paraId="1AB4A4C7">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（冲洗法）（％）</w:t>
            </w:r>
          </w:p>
        </w:tc>
        <w:tc>
          <w:tcPr>
            <w:tcW w:w="2228" w:type="dxa"/>
            <w:gridSpan w:val="2"/>
            <w:tcBorders>
              <w:top w:val="single" w:color="auto" w:sz="6" w:space="0"/>
              <w:left w:val="single" w:color="auto" w:sz="6" w:space="0"/>
              <w:bottom w:val="single" w:color="auto" w:sz="6" w:space="0"/>
              <w:right w:val="single" w:color="auto" w:sz="6" w:space="0"/>
            </w:tcBorders>
            <w:noWrap w:val="0"/>
            <w:vAlign w:val="center"/>
          </w:tcPr>
          <w:p w14:paraId="5EE6A477">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一 级</w:t>
            </w:r>
          </w:p>
        </w:tc>
        <w:tc>
          <w:tcPr>
            <w:tcW w:w="2228" w:type="dxa"/>
            <w:gridSpan w:val="2"/>
            <w:tcBorders>
              <w:top w:val="single" w:color="auto" w:sz="6" w:space="0"/>
              <w:left w:val="single" w:color="auto" w:sz="6" w:space="0"/>
              <w:bottom w:val="single" w:color="auto" w:sz="6" w:space="0"/>
              <w:right w:val="single" w:color="auto" w:sz="6" w:space="0"/>
            </w:tcBorders>
            <w:noWrap w:val="0"/>
            <w:vAlign w:val="center"/>
          </w:tcPr>
          <w:p w14:paraId="7A395EB9">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二 级</w:t>
            </w:r>
          </w:p>
        </w:tc>
        <w:tc>
          <w:tcPr>
            <w:tcW w:w="2228" w:type="dxa"/>
            <w:gridSpan w:val="2"/>
            <w:tcBorders>
              <w:top w:val="single" w:color="auto" w:sz="6" w:space="0"/>
              <w:left w:val="single" w:color="auto" w:sz="6" w:space="0"/>
              <w:bottom w:val="single" w:color="auto" w:sz="6" w:space="0"/>
              <w:right w:val="single" w:color="auto" w:sz="6" w:space="0"/>
            </w:tcBorders>
            <w:noWrap w:val="0"/>
            <w:vAlign w:val="center"/>
          </w:tcPr>
          <w:p w14:paraId="3A9E2110">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三 级</w:t>
            </w:r>
          </w:p>
        </w:tc>
      </w:tr>
      <w:tr w14:paraId="76EFB03E">
        <w:tblPrEx>
          <w:tblCellMar>
            <w:top w:w="0" w:type="dxa"/>
            <w:left w:w="108" w:type="dxa"/>
            <w:bottom w:w="0" w:type="dxa"/>
            <w:right w:w="108" w:type="dxa"/>
          </w:tblCellMar>
        </w:tblPrEx>
        <w:trPr>
          <w:cantSplit/>
          <w:trHeight w:val="244" w:hRule="atLeast"/>
          <w:jc w:val="center"/>
        </w:trPr>
        <w:tc>
          <w:tcPr>
            <w:tcW w:w="2649" w:type="dxa"/>
            <w:gridSpan w:val="3"/>
            <w:vMerge w:val="continue"/>
            <w:tcBorders>
              <w:left w:val="single" w:color="auto" w:sz="6" w:space="0"/>
              <w:bottom w:val="single" w:color="auto" w:sz="6" w:space="0"/>
              <w:right w:val="single" w:color="auto" w:sz="6" w:space="0"/>
            </w:tcBorders>
            <w:noWrap w:val="0"/>
            <w:vAlign w:val="center"/>
          </w:tcPr>
          <w:p w14:paraId="266878C4">
            <w:pPr>
              <w:pStyle w:val="296"/>
              <w:rPr>
                <w:rFonts w:hint="eastAsia" w:ascii="仿宋" w:hAnsi="仿宋" w:eastAsia="仿宋" w:cs="仿宋"/>
                <w:color w:val="auto"/>
                <w:highlight w:val="none"/>
                <w:lang w:val="en-US" w:eastAsia="zh-CN"/>
              </w:rPr>
            </w:pPr>
          </w:p>
        </w:tc>
        <w:tc>
          <w:tcPr>
            <w:tcW w:w="2228" w:type="dxa"/>
            <w:gridSpan w:val="2"/>
            <w:tcBorders>
              <w:top w:val="single" w:color="auto" w:sz="6" w:space="0"/>
              <w:left w:val="single" w:color="auto" w:sz="6" w:space="0"/>
              <w:bottom w:val="single" w:color="auto" w:sz="6" w:space="0"/>
              <w:right w:val="single" w:color="auto" w:sz="6" w:space="0"/>
            </w:tcBorders>
            <w:noWrap w:val="0"/>
            <w:vAlign w:val="center"/>
          </w:tcPr>
          <w:p w14:paraId="39F2FD3A">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w:t>
            </w:r>
          </w:p>
        </w:tc>
        <w:tc>
          <w:tcPr>
            <w:tcW w:w="2228" w:type="dxa"/>
            <w:gridSpan w:val="2"/>
            <w:tcBorders>
              <w:top w:val="single" w:color="auto" w:sz="6" w:space="0"/>
              <w:left w:val="single" w:color="auto" w:sz="6" w:space="0"/>
              <w:bottom w:val="single" w:color="auto" w:sz="6" w:space="0"/>
              <w:right w:val="single" w:color="auto" w:sz="6" w:space="0"/>
            </w:tcBorders>
            <w:noWrap w:val="0"/>
            <w:vAlign w:val="center"/>
          </w:tcPr>
          <w:p w14:paraId="3AEDA37F">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＜2</w:t>
            </w:r>
          </w:p>
        </w:tc>
        <w:tc>
          <w:tcPr>
            <w:tcW w:w="2228" w:type="dxa"/>
            <w:gridSpan w:val="2"/>
            <w:tcBorders>
              <w:top w:val="single" w:color="auto" w:sz="6" w:space="0"/>
              <w:left w:val="single" w:color="auto" w:sz="6" w:space="0"/>
              <w:bottom w:val="single" w:color="auto" w:sz="6" w:space="0"/>
              <w:right w:val="single" w:color="auto" w:sz="6" w:space="0"/>
            </w:tcBorders>
            <w:noWrap w:val="0"/>
            <w:vAlign w:val="center"/>
          </w:tcPr>
          <w:p w14:paraId="105FD47A">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＜3</w:t>
            </w:r>
          </w:p>
        </w:tc>
      </w:tr>
      <w:tr w14:paraId="5F503C07">
        <w:tblPrEx>
          <w:tblCellMar>
            <w:top w:w="0" w:type="dxa"/>
            <w:left w:w="108" w:type="dxa"/>
            <w:bottom w:w="0" w:type="dxa"/>
            <w:right w:w="108" w:type="dxa"/>
          </w:tblCellMar>
        </w:tblPrEx>
        <w:trPr>
          <w:cantSplit/>
          <w:trHeight w:val="245" w:hRule="atLeast"/>
          <w:jc w:val="center"/>
        </w:trPr>
        <w:tc>
          <w:tcPr>
            <w:tcW w:w="2649" w:type="dxa"/>
            <w:gridSpan w:val="3"/>
            <w:tcBorders>
              <w:top w:val="single" w:color="auto" w:sz="6" w:space="0"/>
              <w:left w:val="single" w:color="auto" w:sz="6" w:space="0"/>
              <w:bottom w:val="single" w:color="auto" w:sz="4" w:space="0"/>
              <w:right w:val="single" w:color="auto" w:sz="6" w:space="0"/>
            </w:tcBorders>
            <w:noWrap w:val="0"/>
            <w:vAlign w:val="center"/>
          </w:tcPr>
          <w:p w14:paraId="151E0871">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硫化物和硫酸盐含量</w:t>
            </w:r>
          </w:p>
          <w:p w14:paraId="6C9F3D97">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（折算为S03）（％）</w:t>
            </w:r>
          </w:p>
        </w:tc>
        <w:tc>
          <w:tcPr>
            <w:tcW w:w="6684" w:type="dxa"/>
            <w:gridSpan w:val="6"/>
            <w:tcBorders>
              <w:top w:val="single" w:color="auto" w:sz="6" w:space="0"/>
              <w:left w:val="single" w:color="auto" w:sz="6" w:space="0"/>
              <w:bottom w:val="single" w:color="auto" w:sz="6" w:space="0"/>
              <w:right w:val="single" w:color="auto" w:sz="6" w:space="0"/>
            </w:tcBorders>
            <w:noWrap w:val="0"/>
            <w:vAlign w:val="center"/>
          </w:tcPr>
          <w:p w14:paraId="5E1B16CC">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＜0.5</w:t>
            </w:r>
          </w:p>
        </w:tc>
      </w:tr>
      <w:tr w14:paraId="2B9465BE">
        <w:tblPrEx>
          <w:tblCellMar>
            <w:top w:w="0" w:type="dxa"/>
            <w:left w:w="108" w:type="dxa"/>
            <w:bottom w:w="0" w:type="dxa"/>
            <w:right w:w="108" w:type="dxa"/>
          </w:tblCellMar>
        </w:tblPrEx>
        <w:trPr>
          <w:cantSplit/>
          <w:trHeight w:val="244" w:hRule="atLeast"/>
          <w:jc w:val="center"/>
        </w:trPr>
        <w:tc>
          <w:tcPr>
            <w:tcW w:w="2649" w:type="dxa"/>
            <w:gridSpan w:val="3"/>
            <w:tcBorders>
              <w:top w:val="single" w:color="auto" w:sz="4" w:space="0"/>
              <w:left w:val="single" w:color="auto" w:sz="6" w:space="0"/>
              <w:bottom w:val="single" w:color="auto" w:sz="6" w:space="0"/>
              <w:right w:val="single" w:color="auto" w:sz="6" w:space="0"/>
            </w:tcBorders>
            <w:noWrap w:val="0"/>
            <w:vAlign w:val="center"/>
          </w:tcPr>
          <w:p w14:paraId="679B84A4">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氯化物（氯离子质量计）</w:t>
            </w:r>
          </w:p>
        </w:tc>
        <w:tc>
          <w:tcPr>
            <w:tcW w:w="2228" w:type="dxa"/>
            <w:gridSpan w:val="2"/>
            <w:tcBorders>
              <w:top w:val="single" w:color="auto" w:sz="6" w:space="0"/>
              <w:left w:val="single" w:color="auto" w:sz="6" w:space="0"/>
              <w:bottom w:val="single" w:color="auto" w:sz="6" w:space="0"/>
              <w:right w:val="single" w:color="auto" w:sz="6" w:space="0"/>
            </w:tcBorders>
            <w:noWrap w:val="0"/>
            <w:vAlign w:val="center"/>
          </w:tcPr>
          <w:p w14:paraId="2AC57E12">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≤0.01</w:t>
            </w:r>
          </w:p>
        </w:tc>
        <w:tc>
          <w:tcPr>
            <w:tcW w:w="2228" w:type="dxa"/>
            <w:gridSpan w:val="2"/>
            <w:tcBorders>
              <w:top w:val="single" w:color="auto" w:sz="6" w:space="0"/>
              <w:left w:val="single" w:color="auto" w:sz="6" w:space="0"/>
              <w:bottom w:val="single" w:color="auto" w:sz="6" w:space="0"/>
              <w:right w:val="single" w:color="auto" w:sz="6" w:space="0"/>
            </w:tcBorders>
            <w:noWrap w:val="0"/>
            <w:vAlign w:val="center"/>
          </w:tcPr>
          <w:p w14:paraId="09F31F5B">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≤0.02</w:t>
            </w:r>
          </w:p>
        </w:tc>
        <w:tc>
          <w:tcPr>
            <w:tcW w:w="2228" w:type="dxa"/>
            <w:gridSpan w:val="2"/>
            <w:tcBorders>
              <w:top w:val="single" w:color="auto" w:sz="6" w:space="0"/>
              <w:left w:val="single" w:color="auto" w:sz="6" w:space="0"/>
              <w:bottom w:val="single" w:color="auto" w:sz="6" w:space="0"/>
              <w:right w:val="single" w:color="auto" w:sz="6" w:space="0"/>
            </w:tcBorders>
            <w:noWrap w:val="0"/>
            <w:vAlign w:val="center"/>
          </w:tcPr>
          <w:p w14:paraId="4F33F7C2">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≤0.06</w:t>
            </w:r>
          </w:p>
        </w:tc>
      </w:tr>
      <w:tr w14:paraId="752E0767">
        <w:tblPrEx>
          <w:tblCellMar>
            <w:top w:w="0" w:type="dxa"/>
            <w:left w:w="108" w:type="dxa"/>
            <w:bottom w:w="0" w:type="dxa"/>
            <w:right w:w="108" w:type="dxa"/>
          </w:tblCellMar>
        </w:tblPrEx>
        <w:trPr>
          <w:trHeight w:val="238" w:hRule="atLeast"/>
          <w:jc w:val="center"/>
        </w:trPr>
        <w:tc>
          <w:tcPr>
            <w:tcW w:w="2649" w:type="dxa"/>
            <w:gridSpan w:val="3"/>
            <w:tcBorders>
              <w:top w:val="single" w:color="auto" w:sz="6" w:space="0"/>
              <w:left w:val="single" w:color="auto" w:sz="6" w:space="0"/>
              <w:bottom w:val="single" w:color="auto" w:sz="6" w:space="0"/>
              <w:right w:val="single" w:color="auto" w:sz="6" w:space="0"/>
            </w:tcBorders>
            <w:noWrap w:val="0"/>
            <w:vAlign w:val="center"/>
          </w:tcPr>
          <w:p w14:paraId="70E6C5A9">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有机物含量（比色法）</w:t>
            </w:r>
          </w:p>
        </w:tc>
        <w:tc>
          <w:tcPr>
            <w:tcW w:w="6684" w:type="dxa"/>
            <w:gridSpan w:val="6"/>
            <w:tcBorders>
              <w:top w:val="single" w:color="auto" w:sz="6" w:space="0"/>
              <w:left w:val="single" w:color="auto" w:sz="6" w:space="0"/>
              <w:bottom w:val="single" w:color="auto" w:sz="6" w:space="0"/>
              <w:right w:val="single" w:color="auto" w:sz="6" w:space="0"/>
            </w:tcBorders>
            <w:noWrap w:val="0"/>
            <w:vAlign w:val="center"/>
          </w:tcPr>
          <w:p w14:paraId="115F7797">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颜色不应深于标准溶液的颜色</w:t>
            </w:r>
          </w:p>
        </w:tc>
      </w:tr>
      <w:tr w14:paraId="6B18B045">
        <w:tblPrEx>
          <w:tblCellMar>
            <w:top w:w="0" w:type="dxa"/>
            <w:left w:w="108" w:type="dxa"/>
            <w:bottom w:w="0" w:type="dxa"/>
            <w:right w:w="108" w:type="dxa"/>
          </w:tblCellMar>
        </w:tblPrEx>
        <w:trPr>
          <w:trHeight w:val="252" w:hRule="atLeast"/>
          <w:jc w:val="center"/>
        </w:trPr>
        <w:tc>
          <w:tcPr>
            <w:tcW w:w="2649" w:type="dxa"/>
            <w:gridSpan w:val="3"/>
            <w:tcBorders>
              <w:top w:val="single" w:color="auto" w:sz="6" w:space="0"/>
              <w:left w:val="single" w:color="auto" w:sz="6" w:space="0"/>
              <w:bottom w:val="single" w:color="auto" w:sz="6" w:space="0"/>
              <w:right w:val="single" w:color="auto" w:sz="6" w:space="0"/>
            </w:tcBorders>
            <w:noWrap w:val="0"/>
            <w:vAlign w:val="center"/>
          </w:tcPr>
          <w:p w14:paraId="0FFB4EC2">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其他杂物</w:t>
            </w:r>
          </w:p>
        </w:tc>
        <w:tc>
          <w:tcPr>
            <w:tcW w:w="6684" w:type="dxa"/>
            <w:gridSpan w:val="6"/>
            <w:tcBorders>
              <w:top w:val="single" w:color="auto" w:sz="6" w:space="0"/>
              <w:left w:val="single" w:color="auto" w:sz="6" w:space="0"/>
              <w:bottom w:val="single" w:color="auto" w:sz="6" w:space="0"/>
              <w:right w:val="single" w:color="auto" w:sz="6" w:space="0"/>
            </w:tcBorders>
            <w:noWrap w:val="0"/>
            <w:vAlign w:val="center"/>
          </w:tcPr>
          <w:p w14:paraId="38E34901">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不得混有石灰、煤渣、草根等其他杂物</w:t>
            </w:r>
          </w:p>
        </w:tc>
      </w:tr>
    </w:tbl>
    <w:p w14:paraId="5BC81074">
      <w:pPr>
        <w:rPr>
          <w:rFonts w:hint="eastAsia" w:ascii="仿宋" w:hAnsi="仿宋" w:eastAsia="仿宋" w:cs="仿宋"/>
          <w:color w:val="auto"/>
          <w:highlight w:val="none"/>
          <w:lang w:val="en-US" w:eastAsia="zh-CN"/>
        </w:rPr>
      </w:pPr>
      <w:r>
        <w:rPr>
          <w:rFonts w:hint="eastAsia" w:ascii="仿宋" w:hAnsi="仿宋" w:eastAsia="仿宋" w:cs="仿宋"/>
          <w:color w:val="auto"/>
          <w:sz w:val="24"/>
          <w:szCs w:val="24"/>
          <w:highlight w:val="none"/>
          <w:lang w:val="en-US" w:eastAsia="zh-CN"/>
        </w:rPr>
        <w:t>（3）</w:t>
      </w:r>
      <w:r>
        <w:rPr>
          <w:rFonts w:hint="eastAsia" w:ascii="仿宋" w:hAnsi="仿宋" w:eastAsia="仿宋" w:cs="仿宋"/>
          <w:color w:val="auto"/>
          <w:highlight w:val="none"/>
          <w:lang w:val="en-US" w:eastAsia="zh-CN"/>
        </w:rPr>
        <w:t>粗集料</w:t>
      </w:r>
    </w:p>
    <w:p w14:paraId="0A0A0E07">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粗集料应采用质地坚硬、耐久、洁净的碎石、砾石、破碎砾石，粗集料的最大公称粒径，碎砾石不应大于26.5mm，碎石不应大于31.5mm，砾石不宜大于19.0mm。</w:t>
      </w:r>
    </w:p>
    <w:p w14:paraId="59F10A56">
      <w:pPr>
        <w:jc w:val="cente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粗集料技术指标</w:t>
      </w:r>
    </w:p>
    <w:tbl>
      <w:tblPr>
        <w:tblStyle w:val="88"/>
        <w:tblW w:w="93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2"/>
        <w:gridCol w:w="5358"/>
      </w:tblGrid>
      <w:tr w14:paraId="65E3A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3962" w:type="dxa"/>
            <w:vMerge w:val="restart"/>
            <w:noWrap w:val="0"/>
            <w:vAlign w:val="center"/>
          </w:tcPr>
          <w:p w14:paraId="1C124DA4">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项    目</w:t>
            </w:r>
          </w:p>
        </w:tc>
        <w:tc>
          <w:tcPr>
            <w:tcW w:w="5358" w:type="dxa"/>
            <w:noWrap w:val="0"/>
            <w:vAlign w:val="center"/>
          </w:tcPr>
          <w:p w14:paraId="5D7A1CFD">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技  术  要   求</w:t>
            </w:r>
          </w:p>
        </w:tc>
      </w:tr>
      <w:tr w14:paraId="76569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3962" w:type="dxa"/>
            <w:vMerge w:val="continue"/>
            <w:noWrap w:val="0"/>
            <w:vAlign w:val="center"/>
          </w:tcPr>
          <w:p w14:paraId="0A15C4C3">
            <w:pPr>
              <w:pStyle w:val="296"/>
              <w:rPr>
                <w:rFonts w:hint="eastAsia" w:ascii="仿宋" w:hAnsi="仿宋" w:eastAsia="仿宋" w:cs="仿宋"/>
                <w:color w:val="auto"/>
                <w:highlight w:val="none"/>
                <w:lang w:val="en-US" w:eastAsia="zh-CN"/>
              </w:rPr>
            </w:pPr>
          </w:p>
        </w:tc>
        <w:tc>
          <w:tcPr>
            <w:tcW w:w="5358" w:type="dxa"/>
            <w:noWrap w:val="0"/>
            <w:vAlign w:val="center"/>
          </w:tcPr>
          <w:p w14:paraId="225DC1C6">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Ⅰ  级</w:t>
            </w:r>
          </w:p>
        </w:tc>
      </w:tr>
      <w:tr w14:paraId="39E69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62" w:type="dxa"/>
            <w:noWrap w:val="0"/>
            <w:vAlign w:val="center"/>
          </w:tcPr>
          <w:p w14:paraId="25FE7420">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碎石压碎指标（%）</w:t>
            </w:r>
          </w:p>
        </w:tc>
        <w:tc>
          <w:tcPr>
            <w:tcW w:w="5358" w:type="dxa"/>
            <w:noWrap w:val="0"/>
            <w:vAlign w:val="center"/>
          </w:tcPr>
          <w:p w14:paraId="3EB2E193">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＜10</w:t>
            </w:r>
          </w:p>
        </w:tc>
      </w:tr>
      <w:tr w14:paraId="20528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62" w:type="dxa"/>
            <w:noWrap w:val="0"/>
            <w:vAlign w:val="center"/>
          </w:tcPr>
          <w:p w14:paraId="3BBE74D9">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砾石压碎指标（%）</w:t>
            </w:r>
          </w:p>
        </w:tc>
        <w:tc>
          <w:tcPr>
            <w:tcW w:w="5358" w:type="dxa"/>
            <w:noWrap w:val="0"/>
            <w:vAlign w:val="center"/>
          </w:tcPr>
          <w:p w14:paraId="0CA5C65F">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＜12</w:t>
            </w:r>
          </w:p>
        </w:tc>
      </w:tr>
      <w:tr w14:paraId="29579E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62" w:type="dxa"/>
            <w:noWrap w:val="0"/>
            <w:vAlign w:val="center"/>
          </w:tcPr>
          <w:p w14:paraId="11D47A15">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坚固性（按质量损失计）（%）</w:t>
            </w:r>
          </w:p>
        </w:tc>
        <w:tc>
          <w:tcPr>
            <w:tcW w:w="5358" w:type="dxa"/>
            <w:noWrap w:val="0"/>
            <w:vAlign w:val="center"/>
          </w:tcPr>
          <w:p w14:paraId="46CA0D74">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＜5</w:t>
            </w:r>
          </w:p>
        </w:tc>
      </w:tr>
      <w:tr w14:paraId="3483A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62" w:type="dxa"/>
            <w:noWrap w:val="0"/>
            <w:vAlign w:val="center"/>
          </w:tcPr>
          <w:p w14:paraId="247E361B">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针片状颗粒含量（按质量计）（%）</w:t>
            </w:r>
          </w:p>
        </w:tc>
        <w:tc>
          <w:tcPr>
            <w:tcW w:w="5358" w:type="dxa"/>
            <w:noWrap w:val="0"/>
            <w:vAlign w:val="center"/>
          </w:tcPr>
          <w:p w14:paraId="65CEF73D">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＜5</w:t>
            </w:r>
          </w:p>
        </w:tc>
      </w:tr>
      <w:tr w14:paraId="2A5BB9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62" w:type="dxa"/>
            <w:noWrap w:val="0"/>
            <w:vAlign w:val="center"/>
          </w:tcPr>
          <w:p w14:paraId="4429E12B">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含泥量（按质量计）（%）</w:t>
            </w:r>
          </w:p>
        </w:tc>
        <w:tc>
          <w:tcPr>
            <w:tcW w:w="5358" w:type="dxa"/>
            <w:noWrap w:val="0"/>
            <w:vAlign w:val="center"/>
          </w:tcPr>
          <w:p w14:paraId="6032639D">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＜0.5</w:t>
            </w:r>
          </w:p>
        </w:tc>
      </w:tr>
      <w:tr w14:paraId="53118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62" w:type="dxa"/>
            <w:noWrap w:val="0"/>
            <w:vAlign w:val="center"/>
          </w:tcPr>
          <w:p w14:paraId="2FA3A0BE">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泥块含量（按质量计）（%）</w:t>
            </w:r>
          </w:p>
        </w:tc>
        <w:tc>
          <w:tcPr>
            <w:tcW w:w="5358" w:type="dxa"/>
            <w:noWrap w:val="0"/>
            <w:vAlign w:val="center"/>
          </w:tcPr>
          <w:p w14:paraId="39C45C38">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w:t>
            </w:r>
          </w:p>
        </w:tc>
      </w:tr>
      <w:tr w14:paraId="2D3438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62" w:type="dxa"/>
            <w:noWrap w:val="0"/>
            <w:vAlign w:val="center"/>
          </w:tcPr>
          <w:p w14:paraId="3EF9F313">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有机物含量（比色法）</w:t>
            </w:r>
          </w:p>
        </w:tc>
        <w:tc>
          <w:tcPr>
            <w:tcW w:w="5358" w:type="dxa"/>
            <w:noWrap w:val="0"/>
            <w:vAlign w:val="center"/>
          </w:tcPr>
          <w:p w14:paraId="2A7E210F">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合格</w:t>
            </w:r>
          </w:p>
        </w:tc>
      </w:tr>
      <w:tr w14:paraId="61FF3F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62" w:type="dxa"/>
            <w:noWrap w:val="0"/>
            <w:vAlign w:val="center"/>
          </w:tcPr>
          <w:p w14:paraId="4B0F9752">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硫化物及硫酸盐（按S03质量计）（%）</w:t>
            </w:r>
          </w:p>
        </w:tc>
        <w:tc>
          <w:tcPr>
            <w:tcW w:w="5358" w:type="dxa"/>
            <w:noWrap w:val="0"/>
            <w:vAlign w:val="center"/>
          </w:tcPr>
          <w:p w14:paraId="5570538F">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＜0.5</w:t>
            </w:r>
          </w:p>
        </w:tc>
      </w:tr>
      <w:tr w14:paraId="6E486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62" w:type="dxa"/>
            <w:noWrap w:val="0"/>
            <w:vAlign w:val="center"/>
          </w:tcPr>
          <w:p w14:paraId="05D6A878">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空隙率</w:t>
            </w:r>
          </w:p>
        </w:tc>
        <w:tc>
          <w:tcPr>
            <w:tcW w:w="5358" w:type="dxa"/>
            <w:noWrap w:val="0"/>
            <w:vAlign w:val="center"/>
          </w:tcPr>
          <w:p w14:paraId="328807D8">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＜47%</w:t>
            </w:r>
          </w:p>
        </w:tc>
      </w:tr>
      <w:tr w14:paraId="6157C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62" w:type="dxa"/>
            <w:noWrap w:val="0"/>
            <w:vAlign w:val="center"/>
          </w:tcPr>
          <w:p w14:paraId="719521ED">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碱集料反应</w:t>
            </w:r>
          </w:p>
        </w:tc>
        <w:tc>
          <w:tcPr>
            <w:tcW w:w="5358" w:type="dxa"/>
            <w:noWrap w:val="0"/>
            <w:vAlign w:val="center"/>
          </w:tcPr>
          <w:p w14:paraId="5215DBB4">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经碱集料反应试验后无裂缝、酥裂、胶体外溢等现象，在规定试验龄期的膨胀率小于0.10%</w:t>
            </w:r>
          </w:p>
        </w:tc>
      </w:tr>
      <w:tr w14:paraId="5D685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62" w:type="dxa"/>
            <w:noWrap w:val="0"/>
            <w:vAlign w:val="center"/>
          </w:tcPr>
          <w:p w14:paraId="56995EF8">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抗压强度（MPa）</w:t>
            </w:r>
          </w:p>
        </w:tc>
        <w:tc>
          <w:tcPr>
            <w:tcW w:w="5358" w:type="dxa"/>
            <w:noWrap w:val="0"/>
            <w:vAlign w:val="center"/>
          </w:tcPr>
          <w:p w14:paraId="5034AA20">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火成岩，≥100；变质岩，≥80；水成岩，≥60</w:t>
            </w:r>
          </w:p>
        </w:tc>
      </w:tr>
    </w:tbl>
    <w:p w14:paraId="365A6AD9">
      <w:pPr>
        <w:keepNext w:val="0"/>
        <w:keepLines w:val="0"/>
        <w:pageBreakBefore w:val="0"/>
        <w:numPr>
          <w:ilvl w:val="0"/>
          <w:numId w:val="0"/>
        </w:numPr>
        <w:kinsoku/>
        <w:wordWrap/>
        <w:overflowPunct/>
        <w:topLinePunct w:val="0"/>
        <w:autoSpaceDE w:val="0"/>
        <w:autoSpaceDN w:val="0"/>
        <w:bidi w:val="0"/>
        <w:adjustRightInd w:val="0"/>
        <w:spacing w:line="500" w:lineRule="exact"/>
        <w:jc w:val="center"/>
        <w:textAlignment w:val="auto"/>
        <w:outlineLvl w:val="9"/>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人工合成级配范围</w:t>
      </w:r>
    </w:p>
    <w:tbl>
      <w:tblPr>
        <w:tblStyle w:val="88"/>
        <w:tblW w:w="9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23"/>
        <w:gridCol w:w="1012"/>
        <w:gridCol w:w="1011"/>
        <w:gridCol w:w="1011"/>
        <w:gridCol w:w="1011"/>
        <w:gridCol w:w="968"/>
        <w:gridCol w:w="968"/>
        <w:gridCol w:w="968"/>
        <w:gridCol w:w="968"/>
      </w:tblGrid>
      <w:tr w14:paraId="6DAC3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23" w:type="dxa"/>
            <w:vMerge w:val="restart"/>
            <w:tcBorders>
              <w:top w:val="single" w:color="auto" w:sz="4" w:space="0"/>
              <w:tl2br w:val="single" w:color="auto" w:sz="4" w:space="0"/>
            </w:tcBorders>
            <w:noWrap w:val="0"/>
            <w:vAlign w:val="center"/>
          </w:tcPr>
          <w:p w14:paraId="67B43AF0">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粒径</w:t>
            </w:r>
          </w:p>
          <w:p w14:paraId="6E2B0BBF">
            <w:pPr>
              <w:pStyle w:val="296"/>
              <w:rPr>
                <w:rFonts w:hint="eastAsia" w:ascii="仿宋" w:hAnsi="仿宋" w:eastAsia="仿宋" w:cs="仿宋"/>
                <w:color w:val="auto"/>
                <w:highlight w:val="none"/>
                <w:lang w:val="en-US" w:eastAsia="zh-CN"/>
              </w:rPr>
            </w:pPr>
          </w:p>
          <w:p w14:paraId="2BA0E798">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级配</w:t>
            </w:r>
          </w:p>
        </w:tc>
        <w:tc>
          <w:tcPr>
            <w:tcW w:w="7917" w:type="dxa"/>
            <w:gridSpan w:val="8"/>
            <w:tcBorders>
              <w:top w:val="single" w:color="auto" w:sz="4" w:space="0"/>
            </w:tcBorders>
            <w:noWrap w:val="0"/>
            <w:vAlign w:val="center"/>
          </w:tcPr>
          <w:p w14:paraId="55956E5D">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方 筛 孔 尺 寸（mm）</w:t>
            </w:r>
          </w:p>
        </w:tc>
      </w:tr>
      <w:tr w14:paraId="2601A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23" w:type="dxa"/>
            <w:vMerge w:val="continue"/>
            <w:noWrap w:val="0"/>
            <w:vAlign w:val="center"/>
          </w:tcPr>
          <w:p w14:paraId="2E640C78">
            <w:pPr>
              <w:pStyle w:val="296"/>
              <w:rPr>
                <w:rFonts w:hint="eastAsia" w:ascii="仿宋" w:hAnsi="仿宋" w:eastAsia="仿宋" w:cs="仿宋"/>
                <w:color w:val="auto"/>
                <w:highlight w:val="none"/>
                <w:lang w:val="en-US" w:eastAsia="zh-CN"/>
              </w:rPr>
            </w:pPr>
          </w:p>
        </w:tc>
        <w:tc>
          <w:tcPr>
            <w:tcW w:w="1012" w:type="dxa"/>
            <w:noWrap w:val="0"/>
            <w:vAlign w:val="center"/>
          </w:tcPr>
          <w:p w14:paraId="0328F03E">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2.36</w:t>
            </w:r>
          </w:p>
        </w:tc>
        <w:tc>
          <w:tcPr>
            <w:tcW w:w="1011" w:type="dxa"/>
            <w:noWrap w:val="0"/>
            <w:vAlign w:val="center"/>
          </w:tcPr>
          <w:p w14:paraId="653B47DC">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4.75</w:t>
            </w:r>
          </w:p>
        </w:tc>
        <w:tc>
          <w:tcPr>
            <w:tcW w:w="1011" w:type="dxa"/>
            <w:noWrap w:val="0"/>
            <w:vAlign w:val="center"/>
          </w:tcPr>
          <w:p w14:paraId="5A41A1A1">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9.50</w:t>
            </w:r>
          </w:p>
        </w:tc>
        <w:tc>
          <w:tcPr>
            <w:tcW w:w="1011" w:type="dxa"/>
            <w:noWrap w:val="0"/>
            <w:vAlign w:val="center"/>
          </w:tcPr>
          <w:p w14:paraId="29E29839">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16.0</w:t>
            </w:r>
          </w:p>
        </w:tc>
        <w:tc>
          <w:tcPr>
            <w:tcW w:w="968" w:type="dxa"/>
            <w:noWrap w:val="0"/>
            <w:vAlign w:val="center"/>
          </w:tcPr>
          <w:p w14:paraId="4E36FF17">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19.0</w:t>
            </w:r>
          </w:p>
        </w:tc>
        <w:tc>
          <w:tcPr>
            <w:tcW w:w="968" w:type="dxa"/>
            <w:noWrap w:val="0"/>
            <w:vAlign w:val="center"/>
          </w:tcPr>
          <w:p w14:paraId="7C2AB0BA">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26.5</w:t>
            </w:r>
          </w:p>
        </w:tc>
        <w:tc>
          <w:tcPr>
            <w:tcW w:w="968" w:type="dxa"/>
            <w:noWrap w:val="0"/>
            <w:vAlign w:val="center"/>
          </w:tcPr>
          <w:p w14:paraId="271AA404">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31.5</w:t>
            </w:r>
          </w:p>
        </w:tc>
        <w:tc>
          <w:tcPr>
            <w:tcW w:w="968" w:type="dxa"/>
            <w:noWrap w:val="0"/>
            <w:vAlign w:val="center"/>
          </w:tcPr>
          <w:p w14:paraId="13E00F33">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37.5</w:t>
            </w:r>
          </w:p>
        </w:tc>
      </w:tr>
      <w:tr w14:paraId="51F61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23" w:type="dxa"/>
            <w:vMerge w:val="continue"/>
            <w:noWrap w:val="0"/>
            <w:vAlign w:val="center"/>
          </w:tcPr>
          <w:p w14:paraId="4C881266">
            <w:pPr>
              <w:pStyle w:val="296"/>
              <w:rPr>
                <w:rFonts w:hint="eastAsia" w:ascii="仿宋" w:hAnsi="仿宋" w:eastAsia="仿宋" w:cs="仿宋"/>
                <w:color w:val="auto"/>
                <w:highlight w:val="none"/>
                <w:lang w:val="en-US" w:eastAsia="zh-CN"/>
              </w:rPr>
            </w:pPr>
          </w:p>
        </w:tc>
        <w:tc>
          <w:tcPr>
            <w:tcW w:w="7917" w:type="dxa"/>
            <w:gridSpan w:val="8"/>
            <w:noWrap w:val="0"/>
            <w:vAlign w:val="center"/>
          </w:tcPr>
          <w:p w14:paraId="0FDBCE7F">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累 计 筛 余（以 质 量 计）（%）</w:t>
            </w:r>
          </w:p>
        </w:tc>
      </w:tr>
      <w:tr w14:paraId="1D6B0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23" w:type="dxa"/>
            <w:noWrap w:val="0"/>
            <w:vAlign w:val="center"/>
          </w:tcPr>
          <w:p w14:paraId="741E4134">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4.75～16</w:t>
            </w:r>
          </w:p>
        </w:tc>
        <w:tc>
          <w:tcPr>
            <w:tcW w:w="1012" w:type="dxa"/>
            <w:noWrap w:val="0"/>
            <w:vAlign w:val="center"/>
          </w:tcPr>
          <w:p w14:paraId="05E7A4AC">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95～100</w:t>
            </w:r>
          </w:p>
        </w:tc>
        <w:tc>
          <w:tcPr>
            <w:tcW w:w="1011" w:type="dxa"/>
            <w:noWrap w:val="0"/>
            <w:vAlign w:val="center"/>
          </w:tcPr>
          <w:p w14:paraId="253D3501">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85～100</w:t>
            </w:r>
          </w:p>
        </w:tc>
        <w:tc>
          <w:tcPr>
            <w:tcW w:w="1011" w:type="dxa"/>
            <w:noWrap w:val="0"/>
            <w:vAlign w:val="center"/>
          </w:tcPr>
          <w:p w14:paraId="4823B53A">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40～60</w:t>
            </w:r>
          </w:p>
        </w:tc>
        <w:tc>
          <w:tcPr>
            <w:tcW w:w="1011" w:type="dxa"/>
            <w:noWrap w:val="0"/>
            <w:vAlign w:val="center"/>
          </w:tcPr>
          <w:p w14:paraId="0F2F6D04">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0～10</w:t>
            </w:r>
          </w:p>
        </w:tc>
        <w:tc>
          <w:tcPr>
            <w:tcW w:w="968" w:type="dxa"/>
            <w:noWrap w:val="0"/>
            <w:vAlign w:val="center"/>
          </w:tcPr>
          <w:p w14:paraId="7903EAA6">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w:t>
            </w:r>
          </w:p>
        </w:tc>
        <w:tc>
          <w:tcPr>
            <w:tcW w:w="968" w:type="dxa"/>
            <w:noWrap w:val="0"/>
            <w:vAlign w:val="center"/>
          </w:tcPr>
          <w:p w14:paraId="21D265D5">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w:t>
            </w:r>
          </w:p>
        </w:tc>
        <w:tc>
          <w:tcPr>
            <w:tcW w:w="968" w:type="dxa"/>
            <w:noWrap w:val="0"/>
            <w:vAlign w:val="center"/>
          </w:tcPr>
          <w:p w14:paraId="0698347A">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w:t>
            </w:r>
          </w:p>
        </w:tc>
        <w:tc>
          <w:tcPr>
            <w:tcW w:w="968" w:type="dxa"/>
            <w:noWrap w:val="0"/>
            <w:vAlign w:val="center"/>
          </w:tcPr>
          <w:p w14:paraId="657562E6">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w:t>
            </w:r>
          </w:p>
        </w:tc>
      </w:tr>
      <w:tr w14:paraId="426BA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23" w:type="dxa"/>
            <w:noWrap w:val="0"/>
            <w:vAlign w:val="center"/>
          </w:tcPr>
          <w:p w14:paraId="1DC84335">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4.75～19</w:t>
            </w:r>
          </w:p>
        </w:tc>
        <w:tc>
          <w:tcPr>
            <w:tcW w:w="1012" w:type="dxa"/>
            <w:noWrap w:val="0"/>
            <w:vAlign w:val="center"/>
          </w:tcPr>
          <w:p w14:paraId="3CDF8FAF">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95～100</w:t>
            </w:r>
          </w:p>
        </w:tc>
        <w:tc>
          <w:tcPr>
            <w:tcW w:w="1011" w:type="dxa"/>
            <w:noWrap w:val="0"/>
            <w:vAlign w:val="center"/>
          </w:tcPr>
          <w:p w14:paraId="52B0DD96">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85～95</w:t>
            </w:r>
          </w:p>
        </w:tc>
        <w:tc>
          <w:tcPr>
            <w:tcW w:w="1011" w:type="dxa"/>
            <w:noWrap w:val="0"/>
            <w:vAlign w:val="center"/>
          </w:tcPr>
          <w:p w14:paraId="15B12F86">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60～75</w:t>
            </w:r>
          </w:p>
        </w:tc>
        <w:tc>
          <w:tcPr>
            <w:tcW w:w="1011" w:type="dxa"/>
            <w:noWrap w:val="0"/>
            <w:vAlign w:val="center"/>
          </w:tcPr>
          <w:p w14:paraId="5B3F2707">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30～45</w:t>
            </w:r>
          </w:p>
        </w:tc>
        <w:tc>
          <w:tcPr>
            <w:tcW w:w="968" w:type="dxa"/>
            <w:noWrap w:val="0"/>
            <w:vAlign w:val="center"/>
          </w:tcPr>
          <w:p w14:paraId="3DE2F948">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0～5</w:t>
            </w:r>
          </w:p>
        </w:tc>
        <w:tc>
          <w:tcPr>
            <w:tcW w:w="968" w:type="dxa"/>
            <w:noWrap w:val="0"/>
            <w:vAlign w:val="center"/>
          </w:tcPr>
          <w:p w14:paraId="311B703F">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w:t>
            </w:r>
          </w:p>
        </w:tc>
        <w:tc>
          <w:tcPr>
            <w:tcW w:w="968" w:type="dxa"/>
            <w:noWrap w:val="0"/>
            <w:vAlign w:val="center"/>
          </w:tcPr>
          <w:p w14:paraId="65ADAF45">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w:t>
            </w:r>
          </w:p>
        </w:tc>
        <w:tc>
          <w:tcPr>
            <w:tcW w:w="968" w:type="dxa"/>
            <w:noWrap w:val="0"/>
            <w:vAlign w:val="center"/>
          </w:tcPr>
          <w:p w14:paraId="332AAB7E">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w:t>
            </w:r>
          </w:p>
        </w:tc>
      </w:tr>
      <w:tr w14:paraId="7FA8D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23" w:type="dxa"/>
            <w:noWrap w:val="0"/>
            <w:vAlign w:val="center"/>
          </w:tcPr>
          <w:p w14:paraId="500295F9">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4.75～26.5</w:t>
            </w:r>
          </w:p>
        </w:tc>
        <w:tc>
          <w:tcPr>
            <w:tcW w:w="1012" w:type="dxa"/>
            <w:noWrap w:val="0"/>
            <w:vAlign w:val="center"/>
          </w:tcPr>
          <w:p w14:paraId="6255E8BC">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95～100</w:t>
            </w:r>
          </w:p>
        </w:tc>
        <w:tc>
          <w:tcPr>
            <w:tcW w:w="1011" w:type="dxa"/>
            <w:noWrap w:val="0"/>
            <w:vAlign w:val="center"/>
          </w:tcPr>
          <w:p w14:paraId="65C2AE25">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90～100</w:t>
            </w:r>
          </w:p>
        </w:tc>
        <w:tc>
          <w:tcPr>
            <w:tcW w:w="1011" w:type="dxa"/>
            <w:noWrap w:val="0"/>
            <w:vAlign w:val="center"/>
          </w:tcPr>
          <w:p w14:paraId="4B641702">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70～90</w:t>
            </w:r>
          </w:p>
        </w:tc>
        <w:tc>
          <w:tcPr>
            <w:tcW w:w="1011" w:type="dxa"/>
            <w:noWrap w:val="0"/>
            <w:vAlign w:val="center"/>
          </w:tcPr>
          <w:p w14:paraId="542FFA2B">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50～70</w:t>
            </w:r>
          </w:p>
        </w:tc>
        <w:tc>
          <w:tcPr>
            <w:tcW w:w="968" w:type="dxa"/>
            <w:noWrap w:val="0"/>
            <w:vAlign w:val="center"/>
          </w:tcPr>
          <w:p w14:paraId="54D44429">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25～40</w:t>
            </w:r>
          </w:p>
        </w:tc>
        <w:tc>
          <w:tcPr>
            <w:tcW w:w="968" w:type="dxa"/>
            <w:noWrap w:val="0"/>
            <w:vAlign w:val="center"/>
          </w:tcPr>
          <w:p w14:paraId="01CC4F6C">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0～5</w:t>
            </w:r>
          </w:p>
        </w:tc>
        <w:tc>
          <w:tcPr>
            <w:tcW w:w="968" w:type="dxa"/>
            <w:noWrap w:val="0"/>
            <w:vAlign w:val="center"/>
          </w:tcPr>
          <w:p w14:paraId="13BAFB12">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w:t>
            </w:r>
          </w:p>
        </w:tc>
        <w:tc>
          <w:tcPr>
            <w:tcW w:w="968" w:type="dxa"/>
            <w:noWrap w:val="0"/>
            <w:vAlign w:val="center"/>
          </w:tcPr>
          <w:p w14:paraId="4BD10915">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w:t>
            </w:r>
          </w:p>
        </w:tc>
      </w:tr>
      <w:tr w14:paraId="69C06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2" w:hRule="atLeast"/>
          <w:jc w:val="center"/>
        </w:trPr>
        <w:tc>
          <w:tcPr>
            <w:tcW w:w="1423" w:type="dxa"/>
            <w:tcBorders>
              <w:bottom w:val="single" w:color="auto" w:sz="4" w:space="0"/>
            </w:tcBorders>
            <w:noWrap w:val="0"/>
            <w:vAlign w:val="center"/>
          </w:tcPr>
          <w:p w14:paraId="6F149F9F">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4.75～31.5</w:t>
            </w:r>
          </w:p>
        </w:tc>
        <w:tc>
          <w:tcPr>
            <w:tcW w:w="1012" w:type="dxa"/>
            <w:tcBorders>
              <w:bottom w:val="single" w:color="auto" w:sz="4" w:space="0"/>
            </w:tcBorders>
            <w:noWrap w:val="0"/>
            <w:vAlign w:val="center"/>
          </w:tcPr>
          <w:p w14:paraId="59E83302">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95～100</w:t>
            </w:r>
          </w:p>
        </w:tc>
        <w:tc>
          <w:tcPr>
            <w:tcW w:w="1011" w:type="dxa"/>
            <w:tcBorders>
              <w:bottom w:val="single" w:color="auto" w:sz="4" w:space="0"/>
            </w:tcBorders>
            <w:noWrap w:val="0"/>
            <w:vAlign w:val="center"/>
          </w:tcPr>
          <w:p w14:paraId="46344FEC">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90～100</w:t>
            </w:r>
          </w:p>
        </w:tc>
        <w:tc>
          <w:tcPr>
            <w:tcW w:w="1011" w:type="dxa"/>
            <w:tcBorders>
              <w:bottom w:val="single" w:color="auto" w:sz="4" w:space="0"/>
            </w:tcBorders>
            <w:noWrap w:val="0"/>
            <w:vAlign w:val="center"/>
          </w:tcPr>
          <w:p w14:paraId="4510D6F6">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75～90</w:t>
            </w:r>
          </w:p>
        </w:tc>
        <w:tc>
          <w:tcPr>
            <w:tcW w:w="1011" w:type="dxa"/>
            <w:tcBorders>
              <w:bottom w:val="single" w:color="auto" w:sz="4" w:space="0"/>
            </w:tcBorders>
            <w:noWrap w:val="0"/>
            <w:vAlign w:val="center"/>
          </w:tcPr>
          <w:p w14:paraId="3C811300">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60～75</w:t>
            </w:r>
          </w:p>
        </w:tc>
        <w:tc>
          <w:tcPr>
            <w:tcW w:w="968" w:type="dxa"/>
            <w:tcBorders>
              <w:bottom w:val="single" w:color="auto" w:sz="4" w:space="0"/>
            </w:tcBorders>
            <w:noWrap w:val="0"/>
            <w:vAlign w:val="center"/>
          </w:tcPr>
          <w:p w14:paraId="45C4630E">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40～60</w:t>
            </w:r>
          </w:p>
        </w:tc>
        <w:tc>
          <w:tcPr>
            <w:tcW w:w="968" w:type="dxa"/>
            <w:tcBorders>
              <w:bottom w:val="single" w:color="auto" w:sz="4" w:space="0"/>
            </w:tcBorders>
            <w:noWrap w:val="0"/>
            <w:vAlign w:val="center"/>
          </w:tcPr>
          <w:p w14:paraId="1EDFD126">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20～35</w:t>
            </w:r>
          </w:p>
        </w:tc>
        <w:tc>
          <w:tcPr>
            <w:tcW w:w="968" w:type="dxa"/>
            <w:tcBorders>
              <w:bottom w:val="single" w:color="auto" w:sz="4" w:space="0"/>
            </w:tcBorders>
            <w:noWrap w:val="0"/>
            <w:vAlign w:val="center"/>
          </w:tcPr>
          <w:p w14:paraId="437E5505">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0～5</w:t>
            </w:r>
          </w:p>
        </w:tc>
        <w:tc>
          <w:tcPr>
            <w:tcW w:w="968" w:type="dxa"/>
            <w:tcBorders>
              <w:bottom w:val="single" w:color="auto" w:sz="4" w:space="0"/>
            </w:tcBorders>
            <w:noWrap w:val="0"/>
            <w:vAlign w:val="center"/>
          </w:tcPr>
          <w:p w14:paraId="2BB9325F">
            <w:pPr>
              <w:pStyle w:val="296"/>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0</w:t>
            </w:r>
          </w:p>
        </w:tc>
      </w:tr>
    </w:tbl>
    <w:p w14:paraId="030567B4">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（4）水</w:t>
      </w:r>
    </w:p>
    <w:p w14:paraId="669C735A">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混凝土及养护用水应符合国家现行标准《混凝土用水标准》（JGJ 63）的规定。宜使用饮用水及不含油类等杂质的清洁中性水，pH值宜为6～8。</w:t>
      </w:r>
    </w:p>
    <w:p w14:paraId="4003849F">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（5） 外加剂应符合下列规定：</w:t>
      </w:r>
    </w:p>
    <w:p w14:paraId="67D04C1C">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外加剂宜使用无氯盐类的防冻剂、引气剂、减水剂等。</w:t>
      </w:r>
    </w:p>
    <w:p w14:paraId="45A94564">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外加剂应符合现行国家标准《混凝土外加剂》GB 8076的有关规定，并应有合格证。</w:t>
      </w:r>
    </w:p>
    <w:p w14:paraId="0E59E227">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使用外加剂应经掺配试验，并应符合现行国家标准《混凝土外加剂应用技术规范》GB 50119的有关规定。</w:t>
      </w:r>
    </w:p>
    <w:bookmarkEnd w:id="88"/>
    <w:bookmarkEnd w:id="89"/>
    <w:p w14:paraId="4CBBE275">
      <w:pPr>
        <w:keepNext w:val="0"/>
        <w:keepLines w:val="0"/>
        <w:pageBreakBefore w:val="0"/>
        <w:widowControl w:val="0"/>
        <w:kinsoku/>
        <w:wordWrap/>
        <w:overflowPunct/>
        <w:topLinePunct w:val="0"/>
        <w:autoSpaceDE w:val="0"/>
        <w:autoSpaceDN w:val="0"/>
        <w:bidi w:val="0"/>
        <w:adjustRightInd/>
        <w:snapToGrid/>
        <w:spacing w:line="360" w:lineRule="auto"/>
        <w:ind w:left="0" w:leftChars="0" w:firstLine="0" w:firstLineChars="0"/>
        <w:textAlignment w:val="auto"/>
        <w:outlineLvl w:val="1"/>
        <w:rPr>
          <w:rFonts w:hint="eastAsia"/>
          <w:b/>
          <w:color w:val="auto"/>
          <w:sz w:val="28"/>
          <w:szCs w:val="21"/>
          <w:highlight w:val="none"/>
          <w:lang w:val="en-US" w:eastAsia="zh-CN"/>
        </w:rPr>
      </w:pPr>
      <w:bookmarkStart w:id="90" w:name="_Toc2721"/>
      <w:bookmarkStart w:id="91" w:name="_Toc12521"/>
      <w:bookmarkStart w:id="92" w:name="_Toc32713"/>
      <w:bookmarkStart w:id="93" w:name="_Toc12533"/>
      <w:bookmarkStart w:id="94" w:name="_Toc93997401"/>
      <w:bookmarkStart w:id="95" w:name="_Toc236480747"/>
      <w:bookmarkStart w:id="96" w:name="_Toc7165927"/>
      <w:bookmarkStart w:id="97" w:name="_Toc234323439"/>
      <w:bookmarkStart w:id="98" w:name="_Toc303847583"/>
      <w:bookmarkStart w:id="99" w:name="_Toc93997335"/>
      <w:bookmarkStart w:id="100" w:name="_Toc203894065"/>
      <w:bookmarkStart w:id="101" w:name="_Toc220209037"/>
      <w:bookmarkStart w:id="102" w:name="_Toc93572532"/>
      <w:r>
        <w:rPr>
          <w:rFonts w:hint="eastAsia"/>
          <w:b/>
          <w:color w:val="auto"/>
          <w:sz w:val="28"/>
          <w:szCs w:val="21"/>
          <w:highlight w:val="none"/>
          <w:lang w:val="en-US" w:eastAsia="zh-CN"/>
        </w:rPr>
        <w:t>6.4 沥青混凝土面层施工要求</w:t>
      </w:r>
    </w:p>
    <w:p w14:paraId="13FFC7C1">
      <w:pPr>
        <w:keepNext w:val="0"/>
        <w:keepLines w:val="0"/>
        <w:pageBreakBefore w:val="0"/>
        <w:widowControl w:val="0"/>
        <w:kinsoku/>
        <w:wordWrap/>
        <w:overflowPunct/>
        <w:topLinePunct w:val="0"/>
        <w:autoSpaceDE w:val="0"/>
        <w:autoSpaceDN w:val="0"/>
        <w:bidi w:val="0"/>
        <w:adjustRightInd/>
        <w:snapToGrid/>
        <w:spacing w:line="360" w:lineRule="auto"/>
        <w:ind w:left="0" w:leftChars="0" w:firstLine="0" w:firstLineChars="0"/>
        <w:textAlignment w:val="auto"/>
        <w:outlineLvl w:val="2"/>
        <w:rPr>
          <w:rFonts w:hint="eastAsia"/>
          <w:b/>
          <w:color w:val="auto"/>
          <w:sz w:val="28"/>
          <w:szCs w:val="21"/>
          <w:highlight w:val="none"/>
          <w:lang w:val="en-US" w:eastAsia="zh-CN"/>
        </w:rPr>
      </w:pPr>
      <w:r>
        <w:rPr>
          <w:rFonts w:hint="eastAsia"/>
          <w:b/>
          <w:color w:val="auto"/>
          <w:sz w:val="28"/>
          <w:szCs w:val="21"/>
          <w:highlight w:val="none"/>
          <w:lang w:val="en-US" w:eastAsia="zh-CN"/>
        </w:rPr>
        <w:t>6.4.1质量标准</w:t>
      </w:r>
    </w:p>
    <w:p w14:paraId="0ADC43E6">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1）沥青混合料质量应符合下列要求：</w:t>
      </w:r>
    </w:p>
    <w:p w14:paraId="010E5FA6">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（1）道路用沥青的品种、标号应符合国家现行规范及设计要求。</w:t>
      </w:r>
    </w:p>
    <w:p w14:paraId="59676198">
      <w:pPr>
        <w:rPr>
          <w:rFonts w:hint="default"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检查数量：按同一生产厂家、同一品种、同一标号、同一批号连续进场的沥青（石油沥青每100t为1批，改性沥青每50t为1批）每批次抽检1次。</w:t>
      </w:r>
    </w:p>
    <w:p w14:paraId="4287234B">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检验方法：查出厂合格证，检验报告并进场复验。</w:t>
      </w:r>
    </w:p>
    <w:p w14:paraId="0C5D1FA6">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（2）沥青混合料所选用的粗集料、细集料、矿粉、纤维稳定剂等质量及规格应符合国家现行规范及设计要求。</w:t>
      </w:r>
    </w:p>
    <w:p w14:paraId="5B97776E">
      <w:pPr>
        <w:rPr>
          <w:rFonts w:hint="default"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检查数量：按不同品种产品进场批次和产品抽样检验方案确定。</w:t>
      </w:r>
    </w:p>
    <w:p w14:paraId="2C897F32">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检验方法：观察，检查进场检验报告。</w:t>
      </w:r>
    </w:p>
    <w:p w14:paraId="0A8F119B">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（3）热拌沥青混合料、热拌改性沥青混合料、SMA混合料，查出厂合格证、检验报告并进场复验，拌合温度、出厂温度应符合规范要求。</w:t>
      </w:r>
    </w:p>
    <w:p w14:paraId="618B40A6">
      <w:pPr>
        <w:rPr>
          <w:rFonts w:hint="default"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检查数量：全数检查。</w:t>
      </w:r>
    </w:p>
    <w:p w14:paraId="643C6F16">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检验方法：检测温记录，现场检测温度。</w:t>
      </w:r>
    </w:p>
    <w:p w14:paraId="129A4599">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（3）沥青混合料品质应符合马歇尔试验配合比技术要求。</w:t>
      </w:r>
    </w:p>
    <w:p w14:paraId="43239439">
      <w:pPr>
        <w:rPr>
          <w:rFonts w:hint="default"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检查数量：每日、每品种检查1次。</w:t>
      </w:r>
    </w:p>
    <w:p w14:paraId="1936D37B">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检验方法：现场取样试验。</w:t>
      </w:r>
    </w:p>
    <w:p w14:paraId="506CF42B">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2）沥青混凝土面层质量检验应符合下列规定：</w:t>
      </w:r>
    </w:p>
    <w:p w14:paraId="2A92C10A">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（1）主控技术要求</w:t>
      </w:r>
    </w:p>
    <w:p w14:paraId="4E0B050B">
      <w:pPr>
        <w:rPr>
          <w:rFonts w:hint="eastAsia" w:ascii="仿宋" w:hAnsi="仿宋" w:eastAsia="仿宋" w:cs="仿宋"/>
          <w:color w:val="auto"/>
          <w:highlight w:val="none"/>
          <w:lang w:val="en-US" w:eastAsia="zh-CN"/>
        </w:rPr>
      </w:pPr>
      <w:r>
        <w:rPr>
          <w:rFonts w:hint="default" w:ascii="仿宋" w:hAnsi="仿宋" w:eastAsia="仿宋" w:cs="仿宋"/>
          <w:color w:val="auto"/>
          <w:highlight w:val="none"/>
          <w:lang w:val="en-US" w:eastAsia="zh-CN"/>
        </w:rPr>
        <w:t>①</w:t>
      </w:r>
      <w:r>
        <w:rPr>
          <w:rFonts w:hint="eastAsia" w:ascii="仿宋" w:hAnsi="仿宋" w:eastAsia="仿宋" w:cs="仿宋"/>
          <w:color w:val="auto"/>
          <w:highlight w:val="none"/>
          <w:lang w:val="en-US" w:eastAsia="zh-CN"/>
        </w:rPr>
        <w:t>沥青混合料面层压实度SMA-13≥98%；AC-20、AC-25≥96%。</w:t>
      </w:r>
    </w:p>
    <w:p w14:paraId="20AC9517">
      <w:pPr>
        <w:rPr>
          <w:rFonts w:hint="default"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检查数量：每1000m2测1点。</w:t>
      </w:r>
    </w:p>
    <w:p w14:paraId="67DCB6BB">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检验方法：查试验记录（马歇尔击实试件密度，实验室标准密度）。</w:t>
      </w:r>
    </w:p>
    <w:p w14:paraId="45758A47">
      <w:pPr>
        <w:rPr>
          <w:rFonts w:hint="default" w:ascii="仿宋" w:hAnsi="仿宋" w:eastAsia="仿宋" w:cs="仿宋"/>
          <w:color w:val="auto"/>
          <w:highlight w:val="none"/>
          <w:lang w:val="en-US" w:eastAsia="zh-CN"/>
        </w:rPr>
      </w:pPr>
      <w:r>
        <w:rPr>
          <w:rFonts w:hint="default" w:ascii="仿宋" w:hAnsi="仿宋" w:eastAsia="仿宋" w:cs="仿宋"/>
          <w:color w:val="auto"/>
          <w:highlight w:val="none"/>
          <w:lang w:val="en-US" w:eastAsia="zh-CN"/>
        </w:rPr>
        <w:t>②</w:t>
      </w:r>
      <w:r>
        <w:rPr>
          <w:rFonts w:hint="eastAsia" w:ascii="仿宋" w:hAnsi="仿宋" w:eastAsia="仿宋" w:cs="仿宋"/>
          <w:color w:val="auto"/>
          <w:highlight w:val="none"/>
          <w:lang w:val="en-US" w:eastAsia="zh-CN"/>
        </w:rPr>
        <w:t>面层厚度应符合设计要求，允许偏差为＋10～－5mm。</w:t>
      </w:r>
    </w:p>
    <w:p w14:paraId="00521818">
      <w:pPr>
        <w:rPr>
          <w:rFonts w:hint="default"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检查数量：每1000m2测1点。</w:t>
      </w:r>
    </w:p>
    <w:p w14:paraId="0C924FAA">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检验方法：钻孔或刨挖，用钢尺量。</w:t>
      </w:r>
    </w:p>
    <w:p w14:paraId="1098894E">
      <w:pPr>
        <w:rPr>
          <w:rFonts w:hint="eastAsia" w:ascii="仿宋" w:hAnsi="仿宋" w:eastAsia="仿宋" w:cs="仿宋"/>
          <w:color w:val="auto"/>
          <w:highlight w:val="none"/>
          <w:lang w:val="en-US" w:eastAsia="zh-CN"/>
        </w:rPr>
      </w:pPr>
      <w:r>
        <w:rPr>
          <w:rFonts w:hint="default" w:ascii="仿宋" w:hAnsi="仿宋" w:eastAsia="仿宋" w:cs="仿宋"/>
          <w:color w:val="auto"/>
          <w:highlight w:val="none"/>
          <w:lang w:val="en-US" w:eastAsia="zh-CN"/>
        </w:rPr>
        <w:t>③</w:t>
      </w:r>
      <w:r>
        <w:rPr>
          <w:rFonts w:hint="eastAsia" w:ascii="仿宋" w:hAnsi="仿宋" w:eastAsia="仿宋" w:cs="仿宋"/>
          <w:color w:val="auto"/>
          <w:highlight w:val="none"/>
          <w:lang w:val="en-US" w:eastAsia="zh-CN"/>
        </w:rPr>
        <w:t>弯沉值≤25(0.01mm)。</w:t>
      </w:r>
    </w:p>
    <w:p w14:paraId="3A98FC5F">
      <w:pPr>
        <w:rPr>
          <w:rFonts w:hint="default"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检查数量：每车道、每20m测1点。</w:t>
      </w:r>
    </w:p>
    <w:p w14:paraId="608C0438">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检验方法：弯沉仪检测。</w:t>
      </w:r>
    </w:p>
    <w:p w14:paraId="49B197C1">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（2）一般技术要求</w:t>
      </w:r>
    </w:p>
    <w:p w14:paraId="5C64E09A">
      <w:pPr>
        <w:rPr>
          <w:rFonts w:hint="eastAsia" w:ascii="仿宋" w:hAnsi="仿宋" w:eastAsia="仿宋" w:cs="仿宋"/>
          <w:color w:val="auto"/>
          <w:highlight w:val="none"/>
          <w:lang w:val="en-US" w:eastAsia="zh-CN"/>
        </w:rPr>
      </w:pPr>
      <w:r>
        <w:rPr>
          <w:rFonts w:hint="default" w:ascii="仿宋" w:hAnsi="仿宋" w:eastAsia="仿宋" w:cs="仿宋"/>
          <w:color w:val="auto"/>
          <w:highlight w:val="none"/>
          <w:lang w:val="en-US" w:eastAsia="zh-CN"/>
        </w:rPr>
        <w:t>①</w:t>
      </w:r>
      <w:r>
        <w:rPr>
          <w:rFonts w:hint="eastAsia" w:ascii="仿宋" w:hAnsi="仿宋" w:eastAsia="仿宋" w:cs="仿宋"/>
          <w:color w:val="auto"/>
          <w:highlight w:val="none"/>
          <w:lang w:val="en-US" w:eastAsia="zh-CN"/>
        </w:rPr>
        <w:t>表面应平整、坚实，接缝紧密，无枯焦；不应有明显轮迹、推挤裂缝、脱落、烂边、油斑、掉渣等现象，不得污染其他构筑物。面层与路缘石及其他构筑物应接顺，不得有积水现象。</w:t>
      </w:r>
    </w:p>
    <w:p w14:paraId="2F37A3F8">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检查数量：全数检查；</w:t>
      </w:r>
    </w:p>
    <w:p w14:paraId="11AE88A0">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检验方法：观察。</w:t>
      </w:r>
    </w:p>
    <w:p w14:paraId="7E8236D6">
      <w:pPr>
        <w:rPr>
          <w:rFonts w:hint="eastAsia" w:ascii="仿宋" w:hAnsi="仿宋" w:eastAsia="仿宋" w:cs="仿宋"/>
          <w:color w:val="auto"/>
          <w:highlight w:val="none"/>
          <w:lang w:val="en-US" w:eastAsia="zh-CN"/>
        </w:rPr>
      </w:pPr>
      <w:r>
        <w:rPr>
          <w:rFonts w:hint="default" w:ascii="仿宋" w:hAnsi="仿宋" w:eastAsia="仿宋" w:cs="仿宋"/>
          <w:color w:val="auto"/>
          <w:highlight w:val="none"/>
          <w:lang w:val="en-US" w:eastAsia="zh-CN"/>
        </w:rPr>
        <w:t>②</w:t>
      </w:r>
      <w:r>
        <w:rPr>
          <w:rFonts w:hint="eastAsia" w:ascii="仿宋" w:hAnsi="仿宋" w:eastAsia="仿宋" w:cs="仿宋"/>
          <w:color w:val="auto"/>
          <w:highlight w:val="none"/>
          <w:lang w:val="en-US" w:eastAsia="zh-CN"/>
        </w:rPr>
        <w:t>沥青混凝土面层允许偏差应符合下表要求：</w:t>
      </w:r>
    </w:p>
    <w:p w14:paraId="59A45EB0">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b/>
          <w:color w:val="auto"/>
          <w:sz w:val="24"/>
          <w:szCs w:val="24"/>
          <w:highlight w:val="none"/>
          <w:lang w:eastAsia="zh-CN"/>
        </w:rPr>
        <w:t>沥青混凝土面层允许偏差</w:t>
      </w:r>
    </w:p>
    <w:tbl>
      <w:tblPr>
        <w:tblStyle w:val="88"/>
        <w:tblW w:w="99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5"/>
        <w:gridCol w:w="94"/>
        <w:gridCol w:w="907"/>
        <w:gridCol w:w="1195"/>
        <w:gridCol w:w="1016"/>
        <w:gridCol w:w="870"/>
        <w:gridCol w:w="1195"/>
        <w:gridCol w:w="844"/>
        <w:gridCol w:w="2532"/>
      </w:tblGrid>
      <w:tr w14:paraId="07911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266" w:type="dxa"/>
            <w:gridSpan w:val="3"/>
            <w:vMerge w:val="restart"/>
            <w:noWrap w:val="0"/>
            <w:vAlign w:val="center"/>
          </w:tcPr>
          <w:p w14:paraId="50CE97CD">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项目</w:t>
            </w:r>
          </w:p>
        </w:tc>
        <w:tc>
          <w:tcPr>
            <w:tcW w:w="1195" w:type="dxa"/>
            <w:vMerge w:val="restart"/>
            <w:noWrap w:val="0"/>
            <w:vAlign w:val="center"/>
          </w:tcPr>
          <w:p w14:paraId="404638C0">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允许偏差</w:t>
            </w:r>
          </w:p>
        </w:tc>
        <w:tc>
          <w:tcPr>
            <w:tcW w:w="3925" w:type="dxa"/>
            <w:gridSpan w:val="4"/>
            <w:noWrap w:val="0"/>
            <w:vAlign w:val="center"/>
          </w:tcPr>
          <w:p w14:paraId="3B179E57">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检验频率</w:t>
            </w:r>
          </w:p>
        </w:tc>
        <w:tc>
          <w:tcPr>
            <w:tcW w:w="2532" w:type="dxa"/>
            <w:vMerge w:val="restart"/>
            <w:noWrap w:val="0"/>
            <w:vAlign w:val="center"/>
          </w:tcPr>
          <w:p w14:paraId="2105722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检验方法</w:t>
            </w:r>
          </w:p>
        </w:tc>
      </w:tr>
      <w:tr w14:paraId="3AA78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7" w:hRule="atLeast"/>
          <w:jc w:val="center"/>
        </w:trPr>
        <w:tc>
          <w:tcPr>
            <w:tcW w:w="2266" w:type="dxa"/>
            <w:gridSpan w:val="3"/>
            <w:vMerge w:val="continue"/>
            <w:noWrap w:val="0"/>
            <w:vAlign w:val="center"/>
          </w:tcPr>
          <w:p w14:paraId="69AF1F02">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p>
        </w:tc>
        <w:tc>
          <w:tcPr>
            <w:tcW w:w="1195" w:type="dxa"/>
            <w:vMerge w:val="continue"/>
            <w:noWrap w:val="0"/>
            <w:vAlign w:val="center"/>
          </w:tcPr>
          <w:p w14:paraId="0F452501">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c>
          <w:tcPr>
            <w:tcW w:w="1016" w:type="dxa"/>
            <w:noWrap w:val="0"/>
            <w:vAlign w:val="center"/>
          </w:tcPr>
          <w:p w14:paraId="43B7B5F5">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范围（</w:t>
            </w:r>
            <w:r>
              <w:rPr>
                <w:rFonts w:hint="eastAsia" w:ascii="仿宋" w:hAnsi="仿宋" w:eastAsia="仿宋" w:cs="仿宋"/>
                <w:color w:val="auto"/>
                <w:sz w:val="24"/>
                <w:szCs w:val="24"/>
                <w:highlight w:val="none"/>
                <w:lang w:val="en-US" w:eastAsia="zh-CN"/>
              </w:rPr>
              <w:t>m</w:t>
            </w:r>
            <w:r>
              <w:rPr>
                <w:rFonts w:hint="eastAsia" w:ascii="仿宋" w:hAnsi="仿宋" w:eastAsia="仿宋" w:cs="仿宋"/>
                <w:color w:val="auto"/>
                <w:sz w:val="24"/>
                <w:szCs w:val="24"/>
                <w:highlight w:val="none"/>
                <w:lang w:eastAsia="zh-CN"/>
              </w:rPr>
              <w:t>）</w:t>
            </w:r>
          </w:p>
        </w:tc>
        <w:tc>
          <w:tcPr>
            <w:tcW w:w="2909" w:type="dxa"/>
            <w:gridSpan w:val="3"/>
            <w:noWrap w:val="0"/>
            <w:vAlign w:val="center"/>
          </w:tcPr>
          <w:p w14:paraId="2E5B88DC">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点数</w:t>
            </w:r>
          </w:p>
        </w:tc>
        <w:tc>
          <w:tcPr>
            <w:tcW w:w="2532" w:type="dxa"/>
            <w:vMerge w:val="continue"/>
            <w:noWrap w:val="0"/>
            <w:vAlign w:val="center"/>
          </w:tcPr>
          <w:p w14:paraId="6DDC225B">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r>
      <w:tr w14:paraId="12215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6" w:hRule="atLeast"/>
          <w:jc w:val="center"/>
        </w:trPr>
        <w:tc>
          <w:tcPr>
            <w:tcW w:w="2266" w:type="dxa"/>
            <w:gridSpan w:val="3"/>
            <w:noWrap w:val="0"/>
            <w:vAlign w:val="center"/>
          </w:tcPr>
          <w:p w14:paraId="679BD120">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纵断高程（</w:t>
            </w:r>
            <w:r>
              <w:rPr>
                <w:rFonts w:hint="eastAsia" w:ascii="仿宋" w:hAnsi="仿宋" w:eastAsia="仿宋" w:cs="仿宋"/>
                <w:color w:val="auto"/>
                <w:sz w:val="24"/>
                <w:szCs w:val="24"/>
                <w:highlight w:val="none"/>
                <w:lang w:val="en-US" w:eastAsia="zh-CN"/>
              </w:rPr>
              <w:t>mm</w:t>
            </w:r>
            <w:r>
              <w:rPr>
                <w:rFonts w:hint="eastAsia" w:ascii="仿宋" w:hAnsi="仿宋" w:eastAsia="仿宋" w:cs="仿宋"/>
                <w:color w:val="auto"/>
                <w:sz w:val="24"/>
                <w:szCs w:val="24"/>
                <w:highlight w:val="none"/>
                <w:lang w:eastAsia="zh-CN"/>
              </w:rPr>
              <w:t>）</w:t>
            </w:r>
          </w:p>
        </w:tc>
        <w:tc>
          <w:tcPr>
            <w:tcW w:w="1195" w:type="dxa"/>
            <w:noWrap w:val="0"/>
            <w:vAlign w:val="center"/>
          </w:tcPr>
          <w:p w14:paraId="0509E9B9">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rPr>
            </w:pPr>
            <w:r>
              <w:rPr>
                <w:rFonts w:hint="eastAsia" w:ascii="仿宋" w:hAnsi="仿宋" w:eastAsia="仿宋" w:cs="仿宋"/>
                <w:color w:val="auto"/>
                <w:sz w:val="24"/>
                <w:szCs w:val="24"/>
                <w:highlight w:val="none"/>
                <w:lang w:val="en-US" w:eastAsia="zh-CN"/>
              </w:rPr>
              <w:t>±15</w:t>
            </w:r>
          </w:p>
        </w:tc>
        <w:tc>
          <w:tcPr>
            <w:tcW w:w="1016" w:type="dxa"/>
            <w:noWrap w:val="0"/>
            <w:vAlign w:val="center"/>
          </w:tcPr>
          <w:p w14:paraId="3AA5D031">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20</w:t>
            </w:r>
          </w:p>
        </w:tc>
        <w:tc>
          <w:tcPr>
            <w:tcW w:w="2909" w:type="dxa"/>
            <w:gridSpan w:val="3"/>
            <w:noWrap w:val="0"/>
            <w:vAlign w:val="center"/>
          </w:tcPr>
          <w:p w14:paraId="14C45E79">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w:t>
            </w:r>
          </w:p>
        </w:tc>
        <w:tc>
          <w:tcPr>
            <w:tcW w:w="2532" w:type="dxa"/>
            <w:noWrap w:val="0"/>
            <w:vAlign w:val="center"/>
          </w:tcPr>
          <w:p w14:paraId="05D33175">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用水准仪测量</w:t>
            </w:r>
          </w:p>
        </w:tc>
      </w:tr>
      <w:tr w14:paraId="0818B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266" w:type="dxa"/>
            <w:gridSpan w:val="3"/>
            <w:noWrap w:val="0"/>
            <w:vAlign w:val="center"/>
          </w:tcPr>
          <w:p w14:paraId="19BD2F51">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中线偏位（</w:t>
            </w:r>
            <w:r>
              <w:rPr>
                <w:rFonts w:hint="eastAsia" w:ascii="仿宋" w:hAnsi="仿宋" w:eastAsia="仿宋" w:cs="仿宋"/>
                <w:color w:val="auto"/>
                <w:sz w:val="24"/>
                <w:szCs w:val="24"/>
                <w:highlight w:val="none"/>
                <w:lang w:val="en-US" w:eastAsia="zh-CN"/>
              </w:rPr>
              <w:t>mm</w:t>
            </w:r>
            <w:r>
              <w:rPr>
                <w:rFonts w:hint="eastAsia" w:ascii="仿宋" w:hAnsi="仿宋" w:eastAsia="仿宋" w:cs="仿宋"/>
                <w:color w:val="auto"/>
                <w:sz w:val="24"/>
                <w:szCs w:val="24"/>
                <w:highlight w:val="none"/>
                <w:lang w:eastAsia="zh-CN"/>
              </w:rPr>
              <w:t>）</w:t>
            </w:r>
          </w:p>
        </w:tc>
        <w:tc>
          <w:tcPr>
            <w:tcW w:w="1195" w:type="dxa"/>
            <w:noWrap w:val="0"/>
            <w:vAlign w:val="center"/>
          </w:tcPr>
          <w:p w14:paraId="129FE04B">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20</w:t>
            </w:r>
          </w:p>
        </w:tc>
        <w:tc>
          <w:tcPr>
            <w:tcW w:w="1016" w:type="dxa"/>
            <w:noWrap w:val="0"/>
            <w:vAlign w:val="center"/>
          </w:tcPr>
          <w:p w14:paraId="2C02ED72">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100</w:t>
            </w:r>
          </w:p>
        </w:tc>
        <w:tc>
          <w:tcPr>
            <w:tcW w:w="2909" w:type="dxa"/>
            <w:gridSpan w:val="3"/>
            <w:noWrap w:val="0"/>
            <w:vAlign w:val="center"/>
          </w:tcPr>
          <w:p w14:paraId="3418E000">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w:t>
            </w:r>
          </w:p>
        </w:tc>
        <w:tc>
          <w:tcPr>
            <w:tcW w:w="2532" w:type="dxa"/>
            <w:noWrap w:val="0"/>
            <w:vAlign w:val="center"/>
          </w:tcPr>
          <w:p w14:paraId="47A4F8C0">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用经纬仪、钢尺量取最大值</w:t>
            </w:r>
          </w:p>
        </w:tc>
      </w:tr>
      <w:tr w14:paraId="590AC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1265" w:type="dxa"/>
            <w:vMerge w:val="restart"/>
            <w:noWrap w:val="0"/>
            <w:vAlign w:val="center"/>
          </w:tcPr>
          <w:p w14:paraId="6DB9165F">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平整度（</w:t>
            </w:r>
            <w:r>
              <w:rPr>
                <w:rFonts w:hint="eastAsia" w:ascii="仿宋" w:hAnsi="仿宋" w:eastAsia="仿宋" w:cs="仿宋"/>
                <w:color w:val="auto"/>
                <w:sz w:val="24"/>
                <w:szCs w:val="24"/>
                <w:highlight w:val="none"/>
                <w:lang w:val="en-US" w:eastAsia="zh-CN"/>
              </w:rPr>
              <w:t>mm</w:t>
            </w:r>
            <w:r>
              <w:rPr>
                <w:rFonts w:hint="eastAsia" w:ascii="仿宋" w:hAnsi="仿宋" w:eastAsia="仿宋" w:cs="仿宋"/>
                <w:color w:val="auto"/>
                <w:sz w:val="24"/>
                <w:szCs w:val="24"/>
                <w:highlight w:val="none"/>
                <w:lang w:eastAsia="zh-CN"/>
              </w:rPr>
              <w:t>）</w:t>
            </w:r>
          </w:p>
        </w:tc>
        <w:tc>
          <w:tcPr>
            <w:tcW w:w="1001" w:type="dxa"/>
            <w:gridSpan w:val="2"/>
            <w:vMerge w:val="restart"/>
            <w:noWrap w:val="0"/>
            <w:vAlign w:val="center"/>
          </w:tcPr>
          <w:p w14:paraId="1B32F056">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标准差</w:t>
            </w:r>
          </w:p>
        </w:tc>
        <w:tc>
          <w:tcPr>
            <w:tcW w:w="1195" w:type="dxa"/>
            <w:vMerge w:val="restart"/>
            <w:noWrap w:val="0"/>
            <w:vAlign w:val="center"/>
          </w:tcPr>
          <w:p w14:paraId="07B25EF3">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1.5</w:t>
            </w:r>
          </w:p>
        </w:tc>
        <w:tc>
          <w:tcPr>
            <w:tcW w:w="1016" w:type="dxa"/>
            <w:vMerge w:val="restart"/>
            <w:noWrap w:val="0"/>
            <w:vAlign w:val="center"/>
          </w:tcPr>
          <w:p w14:paraId="0BB45DFD">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100</w:t>
            </w:r>
          </w:p>
        </w:tc>
        <w:tc>
          <w:tcPr>
            <w:tcW w:w="870" w:type="dxa"/>
            <w:vMerge w:val="restart"/>
            <w:noWrap w:val="0"/>
            <w:vAlign w:val="center"/>
          </w:tcPr>
          <w:p w14:paraId="11315A41">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路宽（</w:t>
            </w:r>
            <w:r>
              <w:rPr>
                <w:rFonts w:hint="eastAsia" w:ascii="仿宋" w:hAnsi="仿宋" w:eastAsia="仿宋" w:cs="仿宋"/>
                <w:color w:val="auto"/>
                <w:sz w:val="24"/>
                <w:szCs w:val="24"/>
                <w:highlight w:val="none"/>
                <w:lang w:val="en-US" w:eastAsia="zh-CN"/>
              </w:rPr>
              <w:t>m</w:t>
            </w:r>
            <w:r>
              <w:rPr>
                <w:rFonts w:hint="eastAsia" w:ascii="仿宋" w:hAnsi="仿宋" w:eastAsia="仿宋" w:cs="仿宋"/>
                <w:color w:val="auto"/>
                <w:sz w:val="24"/>
                <w:szCs w:val="24"/>
                <w:highlight w:val="none"/>
                <w:lang w:eastAsia="zh-CN"/>
              </w:rPr>
              <w:t>）</w:t>
            </w:r>
          </w:p>
        </w:tc>
        <w:tc>
          <w:tcPr>
            <w:tcW w:w="1195" w:type="dxa"/>
            <w:noWrap w:val="0"/>
            <w:vAlign w:val="center"/>
          </w:tcPr>
          <w:p w14:paraId="19CC7AFD">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9</w:t>
            </w:r>
          </w:p>
        </w:tc>
        <w:tc>
          <w:tcPr>
            <w:tcW w:w="844" w:type="dxa"/>
            <w:noWrap w:val="0"/>
            <w:vAlign w:val="center"/>
          </w:tcPr>
          <w:p w14:paraId="0CEEB85D">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w:t>
            </w:r>
          </w:p>
        </w:tc>
        <w:tc>
          <w:tcPr>
            <w:tcW w:w="2532" w:type="dxa"/>
            <w:vMerge w:val="restart"/>
            <w:noWrap w:val="0"/>
            <w:vAlign w:val="center"/>
          </w:tcPr>
          <w:p w14:paraId="7226D848">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eastAsia="zh-CN"/>
              </w:rPr>
              <w:t>用</w:t>
            </w:r>
            <w:r>
              <w:rPr>
                <w:rFonts w:hint="eastAsia" w:ascii="仿宋" w:hAnsi="仿宋" w:eastAsia="仿宋" w:cs="仿宋"/>
                <w:color w:val="auto"/>
                <w:sz w:val="24"/>
                <w:szCs w:val="24"/>
                <w:highlight w:val="none"/>
                <w:lang w:val="en-US" w:eastAsia="zh-CN"/>
              </w:rPr>
              <w:t>测平仪或3m直尺</w:t>
            </w:r>
          </w:p>
        </w:tc>
      </w:tr>
      <w:tr w14:paraId="0FF24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1265" w:type="dxa"/>
            <w:vMerge w:val="continue"/>
            <w:noWrap w:val="0"/>
            <w:vAlign w:val="center"/>
          </w:tcPr>
          <w:p w14:paraId="7248219D">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p>
        </w:tc>
        <w:tc>
          <w:tcPr>
            <w:tcW w:w="1001" w:type="dxa"/>
            <w:gridSpan w:val="2"/>
            <w:vMerge w:val="continue"/>
            <w:noWrap w:val="0"/>
            <w:vAlign w:val="center"/>
          </w:tcPr>
          <w:p w14:paraId="382FB527">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p>
        </w:tc>
        <w:tc>
          <w:tcPr>
            <w:tcW w:w="1195" w:type="dxa"/>
            <w:vMerge w:val="continue"/>
            <w:noWrap w:val="0"/>
            <w:vAlign w:val="center"/>
          </w:tcPr>
          <w:p w14:paraId="2E8E399A">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p>
        </w:tc>
        <w:tc>
          <w:tcPr>
            <w:tcW w:w="1016" w:type="dxa"/>
            <w:vMerge w:val="continue"/>
            <w:noWrap w:val="0"/>
            <w:vAlign w:val="center"/>
          </w:tcPr>
          <w:p w14:paraId="04EC9236">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c>
          <w:tcPr>
            <w:tcW w:w="870" w:type="dxa"/>
            <w:vMerge w:val="continue"/>
            <w:noWrap w:val="0"/>
            <w:vAlign w:val="center"/>
          </w:tcPr>
          <w:p w14:paraId="4D0FEEAB">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c>
          <w:tcPr>
            <w:tcW w:w="1195" w:type="dxa"/>
            <w:noWrap w:val="0"/>
            <w:vAlign w:val="center"/>
          </w:tcPr>
          <w:p w14:paraId="5317FF71">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9</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15</w:t>
            </w:r>
          </w:p>
        </w:tc>
        <w:tc>
          <w:tcPr>
            <w:tcW w:w="844" w:type="dxa"/>
            <w:noWrap w:val="0"/>
            <w:vAlign w:val="center"/>
          </w:tcPr>
          <w:p w14:paraId="00FFC0DB">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w:t>
            </w:r>
          </w:p>
        </w:tc>
        <w:tc>
          <w:tcPr>
            <w:tcW w:w="2532" w:type="dxa"/>
            <w:vMerge w:val="continue"/>
            <w:noWrap w:val="0"/>
            <w:vAlign w:val="center"/>
          </w:tcPr>
          <w:p w14:paraId="0F428288">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r>
      <w:tr w14:paraId="74E82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1265" w:type="dxa"/>
            <w:vMerge w:val="continue"/>
            <w:noWrap w:val="0"/>
            <w:vAlign w:val="center"/>
          </w:tcPr>
          <w:p w14:paraId="23E88BD4">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p>
        </w:tc>
        <w:tc>
          <w:tcPr>
            <w:tcW w:w="1001" w:type="dxa"/>
            <w:gridSpan w:val="2"/>
            <w:vMerge w:val="continue"/>
            <w:noWrap w:val="0"/>
            <w:vAlign w:val="center"/>
          </w:tcPr>
          <w:p w14:paraId="4872367A">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p>
        </w:tc>
        <w:tc>
          <w:tcPr>
            <w:tcW w:w="1195" w:type="dxa"/>
            <w:vMerge w:val="continue"/>
            <w:noWrap w:val="0"/>
            <w:vAlign w:val="center"/>
          </w:tcPr>
          <w:p w14:paraId="4C4E4B0C">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p>
        </w:tc>
        <w:tc>
          <w:tcPr>
            <w:tcW w:w="1016" w:type="dxa"/>
            <w:vMerge w:val="continue"/>
            <w:noWrap w:val="0"/>
            <w:vAlign w:val="center"/>
          </w:tcPr>
          <w:p w14:paraId="0FAA2192">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c>
          <w:tcPr>
            <w:tcW w:w="870" w:type="dxa"/>
            <w:vMerge w:val="continue"/>
            <w:noWrap w:val="0"/>
            <w:vAlign w:val="center"/>
          </w:tcPr>
          <w:p w14:paraId="77CE2BF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c>
          <w:tcPr>
            <w:tcW w:w="1195" w:type="dxa"/>
            <w:noWrap w:val="0"/>
            <w:vAlign w:val="center"/>
          </w:tcPr>
          <w:p w14:paraId="0330C588">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15</w:t>
            </w:r>
          </w:p>
        </w:tc>
        <w:tc>
          <w:tcPr>
            <w:tcW w:w="844" w:type="dxa"/>
            <w:noWrap w:val="0"/>
            <w:vAlign w:val="center"/>
          </w:tcPr>
          <w:p w14:paraId="687F50EA">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w:t>
            </w:r>
          </w:p>
        </w:tc>
        <w:tc>
          <w:tcPr>
            <w:tcW w:w="2532" w:type="dxa"/>
            <w:vMerge w:val="continue"/>
            <w:noWrap w:val="0"/>
            <w:vAlign w:val="center"/>
          </w:tcPr>
          <w:p w14:paraId="03E6CE82">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r>
      <w:tr w14:paraId="3D0B9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6" w:hRule="atLeast"/>
          <w:jc w:val="center"/>
        </w:trPr>
        <w:tc>
          <w:tcPr>
            <w:tcW w:w="2266" w:type="dxa"/>
            <w:gridSpan w:val="3"/>
            <w:noWrap w:val="0"/>
            <w:vAlign w:val="center"/>
          </w:tcPr>
          <w:p w14:paraId="70BE79C5">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宽度（</w:t>
            </w:r>
            <w:r>
              <w:rPr>
                <w:rFonts w:hint="eastAsia" w:ascii="仿宋" w:hAnsi="仿宋" w:eastAsia="仿宋" w:cs="仿宋"/>
                <w:color w:val="auto"/>
                <w:sz w:val="24"/>
                <w:szCs w:val="24"/>
                <w:highlight w:val="none"/>
                <w:lang w:val="en-US" w:eastAsia="zh-CN"/>
              </w:rPr>
              <w:t>mm</w:t>
            </w:r>
            <w:r>
              <w:rPr>
                <w:rFonts w:hint="eastAsia" w:ascii="仿宋" w:hAnsi="仿宋" w:eastAsia="仿宋" w:cs="仿宋"/>
                <w:color w:val="auto"/>
                <w:sz w:val="24"/>
                <w:szCs w:val="24"/>
                <w:highlight w:val="none"/>
                <w:lang w:eastAsia="zh-CN"/>
              </w:rPr>
              <w:t>）</w:t>
            </w:r>
          </w:p>
        </w:tc>
        <w:tc>
          <w:tcPr>
            <w:tcW w:w="1195" w:type="dxa"/>
            <w:noWrap w:val="0"/>
            <w:vAlign w:val="center"/>
          </w:tcPr>
          <w:p w14:paraId="0ABA34F9">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不小于设计值</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B</w:t>
            </w:r>
          </w:p>
        </w:tc>
        <w:tc>
          <w:tcPr>
            <w:tcW w:w="1016" w:type="dxa"/>
            <w:noWrap w:val="0"/>
            <w:vAlign w:val="center"/>
          </w:tcPr>
          <w:p w14:paraId="10D6525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40</w:t>
            </w:r>
          </w:p>
        </w:tc>
        <w:tc>
          <w:tcPr>
            <w:tcW w:w="2909" w:type="dxa"/>
            <w:gridSpan w:val="3"/>
            <w:noWrap w:val="0"/>
            <w:vAlign w:val="center"/>
          </w:tcPr>
          <w:p w14:paraId="4CA9C095">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w:t>
            </w:r>
          </w:p>
        </w:tc>
        <w:tc>
          <w:tcPr>
            <w:tcW w:w="2532" w:type="dxa"/>
            <w:noWrap w:val="0"/>
            <w:vAlign w:val="center"/>
          </w:tcPr>
          <w:p w14:paraId="191F96C0">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用钢尺量</w:t>
            </w:r>
          </w:p>
        </w:tc>
      </w:tr>
      <w:tr w14:paraId="4C8E3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266" w:type="dxa"/>
            <w:gridSpan w:val="3"/>
            <w:vMerge w:val="restart"/>
            <w:noWrap w:val="0"/>
            <w:vAlign w:val="center"/>
          </w:tcPr>
          <w:p w14:paraId="5D3C123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横坡</w:t>
            </w:r>
          </w:p>
        </w:tc>
        <w:tc>
          <w:tcPr>
            <w:tcW w:w="1195" w:type="dxa"/>
            <w:vMerge w:val="restart"/>
            <w:noWrap w:val="0"/>
            <w:vAlign w:val="center"/>
          </w:tcPr>
          <w:p w14:paraId="1D1234EF">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en-US" w:eastAsia="zh-CN"/>
              </w:rPr>
              <w:t>±0.3%且不反坡</w:t>
            </w:r>
          </w:p>
        </w:tc>
        <w:tc>
          <w:tcPr>
            <w:tcW w:w="1016" w:type="dxa"/>
            <w:vMerge w:val="restart"/>
            <w:noWrap w:val="0"/>
            <w:vAlign w:val="center"/>
          </w:tcPr>
          <w:p w14:paraId="0DA6F41B">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20</w:t>
            </w:r>
          </w:p>
        </w:tc>
        <w:tc>
          <w:tcPr>
            <w:tcW w:w="870" w:type="dxa"/>
            <w:vMerge w:val="restart"/>
            <w:noWrap w:val="0"/>
            <w:vAlign w:val="center"/>
          </w:tcPr>
          <w:p w14:paraId="29CC425F">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eastAsia="zh-CN"/>
              </w:rPr>
              <w:t>路宽（</w:t>
            </w:r>
            <w:r>
              <w:rPr>
                <w:rFonts w:hint="eastAsia" w:ascii="仿宋" w:hAnsi="仿宋" w:eastAsia="仿宋" w:cs="仿宋"/>
                <w:color w:val="auto"/>
                <w:sz w:val="24"/>
                <w:szCs w:val="24"/>
                <w:highlight w:val="none"/>
                <w:lang w:val="en-US" w:eastAsia="zh-CN"/>
              </w:rPr>
              <w:t>m</w:t>
            </w:r>
            <w:r>
              <w:rPr>
                <w:rFonts w:hint="eastAsia" w:ascii="仿宋" w:hAnsi="仿宋" w:eastAsia="仿宋" w:cs="仿宋"/>
                <w:color w:val="auto"/>
                <w:sz w:val="24"/>
                <w:szCs w:val="24"/>
                <w:highlight w:val="none"/>
                <w:lang w:eastAsia="zh-CN"/>
              </w:rPr>
              <w:t>）</w:t>
            </w:r>
          </w:p>
        </w:tc>
        <w:tc>
          <w:tcPr>
            <w:tcW w:w="1195" w:type="dxa"/>
            <w:noWrap w:val="0"/>
            <w:vAlign w:val="center"/>
          </w:tcPr>
          <w:p w14:paraId="64ACE79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9</w:t>
            </w:r>
          </w:p>
        </w:tc>
        <w:tc>
          <w:tcPr>
            <w:tcW w:w="844" w:type="dxa"/>
            <w:noWrap w:val="0"/>
            <w:vAlign w:val="center"/>
          </w:tcPr>
          <w:p w14:paraId="79B403F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en-US" w:eastAsia="zh-CN"/>
              </w:rPr>
              <w:t>2</w:t>
            </w:r>
          </w:p>
        </w:tc>
        <w:tc>
          <w:tcPr>
            <w:tcW w:w="2532" w:type="dxa"/>
            <w:vMerge w:val="restart"/>
            <w:noWrap w:val="0"/>
            <w:vAlign w:val="center"/>
          </w:tcPr>
          <w:p w14:paraId="11032365">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eastAsia="zh-CN"/>
              </w:rPr>
              <w:t>用水准仪测量</w:t>
            </w:r>
          </w:p>
        </w:tc>
      </w:tr>
      <w:tr w14:paraId="2D2CE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266" w:type="dxa"/>
            <w:gridSpan w:val="3"/>
            <w:vMerge w:val="continue"/>
            <w:noWrap w:val="0"/>
            <w:vAlign w:val="center"/>
          </w:tcPr>
          <w:p w14:paraId="387740E6">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p>
        </w:tc>
        <w:tc>
          <w:tcPr>
            <w:tcW w:w="1195" w:type="dxa"/>
            <w:vMerge w:val="continue"/>
            <w:noWrap w:val="0"/>
            <w:vAlign w:val="center"/>
          </w:tcPr>
          <w:p w14:paraId="7ABB48F6">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c>
          <w:tcPr>
            <w:tcW w:w="1016" w:type="dxa"/>
            <w:vMerge w:val="continue"/>
            <w:noWrap w:val="0"/>
            <w:vAlign w:val="center"/>
          </w:tcPr>
          <w:p w14:paraId="153357F3">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c>
          <w:tcPr>
            <w:tcW w:w="870" w:type="dxa"/>
            <w:vMerge w:val="continue"/>
            <w:noWrap w:val="0"/>
            <w:vAlign w:val="center"/>
          </w:tcPr>
          <w:p w14:paraId="252E5545">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c>
          <w:tcPr>
            <w:tcW w:w="1195" w:type="dxa"/>
            <w:noWrap w:val="0"/>
            <w:vAlign w:val="center"/>
          </w:tcPr>
          <w:p w14:paraId="0915E93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en-US" w:eastAsia="zh-CN"/>
              </w:rPr>
              <w:t>9</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15</w:t>
            </w:r>
          </w:p>
        </w:tc>
        <w:tc>
          <w:tcPr>
            <w:tcW w:w="844" w:type="dxa"/>
            <w:noWrap w:val="0"/>
            <w:vAlign w:val="center"/>
          </w:tcPr>
          <w:p w14:paraId="45A8594C">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en-US" w:eastAsia="zh-CN"/>
              </w:rPr>
              <w:t>4</w:t>
            </w:r>
          </w:p>
        </w:tc>
        <w:tc>
          <w:tcPr>
            <w:tcW w:w="2532" w:type="dxa"/>
            <w:vMerge w:val="continue"/>
            <w:noWrap w:val="0"/>
            <w:vAlign w:val="center"/>
          </w:tcPr>
          <w:p w14:paraId="09875664">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r>
      <w:tr w14:paraId="07787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266" w:type="dxa"/>
            <w:gridSpan w:val="3"/>
            <w:vMerge w:val="continue"/>
            <w:noWrap w:val="0"/>
            <w:vAlign w:val="center"/>
          </w:tcPr>
          <w:p w14:paraId="6E7CF600">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p>
        </w:tc>
        <w:tc>
          <w:tcPr>
            <w:tcW w:w="1195" w:type="dxa"/>
            <w:vMerge w:val="continue"/>
            <w:noWrap w:val="0"/>
            <w:vAlign w:val="center"/>
          </w:tcPr>
          <w:p w14:paraId="664D25E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c>
          <w:tcPr>
            <w:tcW w:w="1016" w:type="dxa"/>
            <w:vMerge w:val="continue"/>
            <w:noWrap w:val="0"/>
            <w:vAlign w:val="center"/>
          </w:tcPr>
          <w:p w14:paraId="2A16CD00">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c>
          <w:tcPr>
            <w:tcW w:w="870" w:type="dxa"/>
            <w:vMerge w:val="continue"/>
            <w:noWrap w:val="0"/>
            <w:vAlign w:val="center"/>
          </w:tcPr>
          <w:p w14:paraId="7236E9F5">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c>
          <w:tcPr>
            <w:tcW w:w="1195" w:type="dxa"/>
            <w:noWrap w:val="0"/>
            <w:vAlign w:val="center"/>
          </w:tcPr>
          <w:p w14:paraId="1E0E6340">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15</w:t>
            </w:r>
          </w:p>
        </w:tc>
        <w:tc>
          <w:tcPr>
            <w:tcW w:w="844" w:type="dxa"/>
            <w:noWrap w:val="0"/>
            <w:vAlign w:val="center"/>
          </w:tcPr>
          <w:p w14:paraId="412931C1">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en-US" w:eastAsia="zh-CN"/>
              </w:rPr>
              <w:t>6</w:t>
            </w:r>
          </w:p>
        </w:tc>
        <w:tc>
          <w:tcPr>
            <w:tcW w:w="2532" w:type="dxa"/>
            <w:vMerge w:val="continue"/>
            <w:noWrap w:val="0"/>
            <w:vAlign w:val="center"/>
          </w:tcPr>
          <w:p w14:paraId="5D51907A">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r>
      <w:tr w14:paraId="0EE04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7" w:hRule="atLeast"/>
          <w:jc w:val="center"/>
        </w:trPr>
        <w:tc>
          <w:tcPr>
            <w:tcW w:w="2266" w:type="dxa"/>
            <w:gridSpan w:val="3"/>
            <w:noWrap w:val="0"/>
            <w:vAlign w:val="center"/>
          </w:tcPr>
          <w:p w14:paraId="247A1BC8">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井框与路面高差（</w:t>
            </w:r>
            <w:r>
              <w:rPr>
                <w:rFonts w:hint="eastAsia" w:ascii="仿宋" w:hAnsi="仿宋" w:eastAsia="仿宋" w:cs="仿宋"/>
                <w:color w:val="auto"/>
                <w:sz w:val="24"/>
                <w:szCs w:val="24"/>
                <w:highlight w:val="none"/>
                <w:lang w:val="en-US" w:eastAsia="zh-CN"/>
              </w:rPr>
              <w:t>mm</w:t>
            </w:r>
            <w:r>
              <w:rPr>
                <w:rFonts w:hint="eastAsia" w:ascii="仿宋" w:hAnsi="仿宋" w:eastAsia="仿宋" w:cs="仿宋"/>
                <w:color w:val="auto"/>
                <w:sz w:val="24"/>
                <w:szCs w:val="24"/>
                <w:highlight w:val="none"/>
                <w:lang w:eastAsia="zh-CN"/>
              </w:rPr>
              <w:t>）</w:t>
            </w:r>
          </w:p>
        </w:tc>
        <w:tc>
          <w:tcPr>
            <w:tcW w:w="1195" w:type="dxa"/>
            <w:noWrap w:val="0"/>
            <w:vAlign w:val="center"/>
          </w:tcPr>
          <w:p w14:paraId="5BEFCF26">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5</w:t>
            </w:r>
          </w:p>
        </w:tc>
        <w:tc>
          <w:tcPr>
            <w:tcW w:w="1016" w:type="dxa"/>
            <w:noWrap w:val="0"/>
            <w:vAlign w:val="center"/>
          </w:tcPr>
          <w:p w14:paraId="25CB9836">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每座</w:t>
            </w:r>
          </w:p>
        </w:tc>
        <w:tc>
          <w:tcPr>
            <w:tcW w:w="2909" w:type="dxa"/>
            <w:gridSpan w:val="3"/>
            <w:noWrap w:val="0"/>
            <w:vAlign w:val="center"/>
          </w:tcPr>
          <w:p w14:paraId="531C2DE8">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w:t>
            </w:r>
          </w:p>
        </w:tc>
        <w:tc>
          <w:tcPr>
            <w:tcW w:w="2532" w:type="dxa"/>
            <w:noWrap w:val="0"/>
            <w:vAlign w:val="center"/>
          </w:tcPr>
          <w:p w14:paraId="022A3B89">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rPr>
            </w:pPr>
            <w:r>
              <w:rPr>
                <w:rFonts w:hint="eastAsia" w:ascii="仿宋" w:hAnsi="仿宋" w:eastAsia="仿宋" w:cs="仿宋"/>
                <w:color w:val="auto"/>
                <w:sz w:val="24"/>
                <w:szCs w:val="24"/>
                <w:highlight w:val="none"/>
                <w:lang w:eastAsia="zh-CN"/>
              </w:rPr>
              <w:t>十字法，用直尺、塞尺量取最大值</w:t>
            </w:r>
          </w:p>
        </w:tc>
      </w:tr>
      <w:tr w14:paraId="22B401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1359" w:type="dxa"/>
            <w:gridSpan w:val="2"/>
            <w:vMerge w:val="restart"/>
            <w:noWrap w:val="0"/>
            <w:vAlign w:val="center"/>
          </w:tcPr>
          <w:p w14:paraId="46D24C4F">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抗滑</w:t>
            </w:r>
          </w:p>
        </w:tc>
        <w:tc>
          <w:tcPr>
            <w:tcW w:w="907" w:type="dxa"/>
            <w:vMerge w:val="restart"/>
            <w:noWrap w:val="0"/>
            <w:vAlign w:val="center"/>
          </w:tcPr>
          <w:p w14:paraId="4D7C3F0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摩擦系数</w:t>
            </w:r>
          </w:p>
        </w:tc>
        <w:tc>
          <w:tcPr>
            <w:tcW w:w="1195" w:type="dxa"/>
            <w:vMerge w:val="restart"/>
            <w:noWrap w:val="0"/>
            <w:vAlign w:val="center"/>
          </w:tcPr>
          <w:p w14:paraId="16F47335">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54</w:t>
            </w:r>
          </w:p>
        </w:tc>
        <w:tc>
          <w:tcPr>
            <w:tcW w:w="1016" w:type="dxa"/>
            <w:vMerge w:val="restart"/>
            <w:noWrap w:val="0"/>
            <w:vAlign w:val="center"/>
          </w:tcPr>
          <w:p w14:paraId="02189D33">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200</w:t>
            </w:r>
          </w:p>
        </w:tc>
        <w:tc>
          <w:tcPr>
            <w:tcW w:w="2909" w:type="dxa"/>
            <w:gridSpan w:val="3"/>
            <w:noWrap w:val="0"/>
            <w:vAlign w:val="center"/>
          </w:tcPr>
          <w:p w14:paraId="4ED51A12">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w:t>
            </w:r>
          </w:p>
        </w:tc>
        <w:tc>
          <w:tcPr>
            <w:tcW w:w="2532" w:type="dxa"/>
            <w:noWrap w:val="0"/>
            <w:vAlign w:val="center"/>
          </w:tcPr>
          <w:p w14:paraId="728B03C9">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摆式仪</w:t>
            </w:r>
          </w:p>
        </w:tc>
      </w:tr>
      <w:tr w14:paraId="13F95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1359" w:type="dxa"/>
            <w:gridSpan w:val="2"/>
            <w:vMerge w:val="continue"/>
            <w:noWrap w:val="0"/>
            <w:vAlign w:val="center"/>
          </w:tcPr>
          <w:p w14:paraId="60B979C0">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p>
        </w:tc>
        <w:tc>
          <w:tcPr>
            <w:tcW w:w="907" w:type="dxa"/>
            <w:vMerge w:val="continue"/>
            <w:noWrap w:val="0"/>
            <w:vAlign w:val="center"/>
          </w:tcPr>
          <w:p w14:paraId="2468946C">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p>
        </w:tc>
        <w:tc>
          <w:tcPr>
            <w:tcW w:w="1195" w:type="dxa"/>
            <w:vMerge w:val="continue"/>
            <w:noWrap w:val="0"/>
            <w:vAlign w:val="center"/>
          </w:tcPr>
          <w:p w14:paraId="141E759B">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p>
        </w:tc>
        <w:tc>
          <w:tcPr>
            <w:tcW w:w="1016" w:type="dxa"/>
            <w:vMerge w:val="continue"/>
            <w:noWrap w:val="0"/>
            <w:vAlign w:val="center"/>
          </w:tcPr>
          <w:p w14:paraId="4EED3AB6">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p>
        </w:tc>
        <w:tc>
          <w:tcPr>
            <w:tcW w:w="2909" w:type="dxa"/>
            <w:gridSpan w:val="3"/>
            <w:noWrap w:val="0"/>
            <w:vAlign w:val="center"/>
          </w:tcPr>
          <w:p w14:paraId="53AA9DFB">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全线联系</w:t>
            </w:r>
          </w:p>
        </w:tc>
        <w:tc>
          <w:tcPr>
            <w:tcW w:w="2532" w:type="dxa"/>
            <w:noWrap w:val="0"/>
            <w:vAlign w:val="center"/>
          </w:tcPr>
          <w:p w14:paraId="1A6854DC">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横向力系数车</w:t>
            </w:r>
          </w:p>
        </w:tc>
      </w:tr>
      <w:tr w14:paraId="042B2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1359" w:type="dxa"/>
            <w:gridSpan w:val="2"/>
            <w:vMerge w:val="continue"/>
            <w:noWrap w:val="0"/>
            <w:vAlign w:val="center"/>
          </w:tcPr>
          <w:p w14:paraId="0FB59085">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p>
        </w:tc>
        <w:tc>
          <w:tcPr>
            <w:tcW w:w="907" w:type="dxa"/>
            <w:vMerge w:val="restart"/>
            <w:noWrap w:val="0"/>
            <w:vAlign w:val="center"/>
          </w:tcPr>
          <w:p w14:paraId="65EED94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构造深度</w:t>
            </w:r>
          </w:p>
        </w:tc>
        <w:tc>
          <w:tcPr>
            <w:tcW w:w="1195" w:type="dxa"/>
            <w:vMerge w:val="restart"/>
            <w:noWrap w:val="0"/>
            <w:vAlign w:val="center"/>
          </w:tcPr>
          <w:p w14:paraId="59DBCE57">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0.55</w:t>
            </w:r>
          </w:p>
        </w:tc>
        <w:tc>
          <w:tcPr>
            <w:tcW w:w="1016" w:type="dxa"/>
            <w:vMerge w:val="restart"/>
            <w:noWrap w:val="0"/>
            <w:vAlign w:val="center"/>
          </w:tcPr>
          <w:p w14:paraId="52CBB57B">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200</w:t>
            </w:r>
          </w:p>
        </w:tc>
        <w:tc>
          <w:tcPr>
            <w:tcW w:w="2909" w:type="dxa"/>
            <w:gridSpan w:val="3"/>
            <w:vMerge w:val="restart"/>
            <w:noWrap w:val="0"/>
            <w:vAlign w:val="center"/>
          </w:tcPr>
          <w:p w14:paraId="0FE78D3F">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w:t>
            </w:r>
          </w:p>
        </w:tc>
        <w:tc>
          <w:tcPr>
            <w:tcW w:w="2532" w:type="dxa"/>
            <w:noWrap w:val="0"/>
            <w:vAlign w:val="center"/>
          </w:tcPr>
          <w:p w14:paraId="759CBD90">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铺砂法</w:t>
            </w:r>
          </w:p>
        </w:tc>
      </w:tr>
      <w:tr w14:paraId="67754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1359" w:type="dxa"/>
            <w:gridSpan w:val="2"/>
            <w:vMerge w:val="continue"/>
            <w:noWrap w:val="0"/>
            <w:vAlign w:val="center"/>
          </w:tcPr>
          <w:p w14:paraId="4328F2A6">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p>
        </w:tc>
        <w:tc>
          <w:tcPr>
            <w:tcW w:w="907" w:type="dxa"/>
            <w:vMerge w:val="continue"/>
            <w:noWrap w:val="0"/>
            <w:vAlign w:val="center"/>
          </w:tcPr>
          <w:p w14:paraId="04D92855">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p>
        </w:tc>
        <w:tc>
          <w:tcPr>
            <w:tcW w:w="1195" w:type="dxa"/>
            <w:vMerge w:val="continue"/>
            <w:noWrap w:val="0"/>
            <w:vAlign w:val="center"/>
          </w:tcPr>
          <w:p w14:paraId="264FC2E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p>
        </w:tc>
        <w:tc>
          <w:tcPr>
            <w:tcW w:w="1016" w:type="dxa"/>
            <w:vMerge w:val="continue"/>
            <w:noWrap w:val="0"/>
            <w:vAlign w:val="center"/>
          </w:tcPr>
          <w:p w14:paraId="4039A18F">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p>
        </w:tc>
        <w:tc>
          <w:tcPr>
            <w:tcW w:w="2909" w:type="dxa"/>
            <w:gridSpan w:val="3"/>
            <w:vMerge w:val="continue"/>
            <w:noWrap w:val="0"/>
            <w:vAlign w:val="center"/>
          </w:tcPr>
          <w:p w14:paraId="53BB77D0">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p>
        </w:tc>
        <w:tc>
          <w:tcPr>
            <w:tcW w:w="2532" w:type="dxa"/>
            <w:noWrap w:val="0"/>
            <w:vAlign w:val="center"/>
          </w:tcPr>
          <w:p w14:paraId="2E1BA686">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激光构造深度仪</w:t>
            </w:r>
          </w:p>
        </w:tc>
      </w:tr>
    </w:tbl>
    <w:p w14:paraId="14D6AFE5">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注：</w:t>
      </w:r>
      <w:r>
        <w:rPr>
          <w:rFonts w:hint="default" w:ascii="仿宋" w:hAnsi="仿宋" w:eastAsia="仿宋" w:cs="仿宋"/>
          <w:color w:val="auto"/>
          <w:highlight w:val="none"/>
          <w:lang w:val="en-US" w:eastAsia="zh-CN"/>
        </w:rPr>
        <w:t>①</w:t>
      </w:r>
      <w:r>
        <w:rPr>
          <w:rFonts w:hint="eastAsia" w:ascii="仿宋" w:hAnsi="仿宋" w:eastAsia="仿宋" w:cs="仿宋"/>
          <w:color w:val="auto"/>
          <w:highlight w:val="none"/>
          <w:lang w:val="en-US" w:eastAsia="zh-CN"/>
        </w:rPr>
        <w:t>测平仪为全线每车道连续检测每100m计算标准差；无测平仪可采用3m直尺检测，表中检验频率点数为测线数。</w:t>
      </w:r>
    </w:p>
    <w:p w14:paraId="0FA03348">
      <w:pPr>
        <w:rPr>
          <w:rFonts w:hint="eastAsia" w:ascii="仿宋" w:hAnsi="仿宋" w:eastAsia="仿宋" w:cs="仿宋"/>
          <w:color w:val="auto"/>
          <w:highlight w:val="none"/>
          <w:lang w:val="en-US" w:eastAsia="zh-CN"/>
        </w:rPr>
      </w:pPr>
      <w:r>
        <w:rPr>
          <w:rFonts w:hint="default" w:ascii="仿宋" w:hAnsi="仿宋" w:eastAsia="仿宋" w:cs="仿宋"/>
          <w:color w:val="auto"/>
          <w:highlight w:val="none"/>
          <w:lang w:val="en-US" w:eastAsia="zh-CN"/>
        </w:rPr>
        <w:t>②</w:t>
      </w:r>
      <w:r>
        <w:rPr>
          <w:rFonts w:hint="eastAsia" w:ascii="仿宋" w:hAnsi="仿宋" w:eastAsia="仿宋" w:cs="仿宋"/>
          <w:color w:val="auto"/>
          <w:highlight w:val="none"/>
          <w:lang w:val="en-US" w:eastAsia="zh-CN"/>
        </w:rPr>
        <w:t>中面层及下面层仅进行中线偏位、平整度、宽度、横坡的检测。</w:t>
      </w:r>
    </w:p>
    <w:p w14:paraId="03739337">
      <w:pPr>
        <w:rPr>
          <w:rFonts w:hint="eastAsia" w:ascii="仿宋" w:hAnsi="仿宋" w:eastAsia="仿宋" w:cs="仿宋"/>
          <w:color w:val="auto"/>
          <w:highlight w:val="none"/>
          <w:lang w:val="en-US" w:eastAsia="zh-CN"/>
        </w:rPr>
      </w:pPr>
      <w:r>
        <w:rPr>
          <w:rFonts w:hint="default" w:ascii="仿宋" w:hAnsi="仿宋" w:eastAsia="仿宋" w:cs="仿宋"/>
          <w:color w:val="auto"/>
          <w:highlight w:val="none"/>
          <w:lang w:val="en-US" w:eastAsia="zh-CN"/>
        </w:rPr>
        <w:t>③</w:t>
      </w:r>
      <w:r>
        <w:rPr>
          <w:rFonts w:hint="eastAsia" w:ascii="仿宋" w:hAnsi="仿宋" w:eastAsia="仿宋" w:cs="仿宋"/>
          <w:color w:val="auto"/>
          <w:highlight w:val="none"/>
          <w:lang w:val="en-US" w:eastAsia="zh-CN"/>
        </w:rPr>
        <w:t>十字法检查井框和路面高差时，以平行于道路中线，过检查井盖中心的直线做基线，另一条线与基线垂直，构成检查用十字线。</w:t>
      </w:r>
    </w:p>
    <w:p w14:paraId="7718C13F">
      <w:pPr>
        <w:keepNext w:val="0"/>
        <w:keepLines w:val="0"/>
        <w:pageBreakBefore w:val="0"/>
        <w:widowControl w:val="0"/>
        <w:kinsoku/>
        <w:wordWrap/>
        <w:overflowPunct/>
        <w:topLinePunct w:val="0"/>
        <w:autoSpaceDE w:val="0"/>
        <w:autoSpaceDN w:val="0"/>
        <w:bidi w:val="0"/>
        <w:adjustRightInd/>
        <w:snapToGrid/>
        <w:spacing w:line="360" w:lineRule="auto"/>
        <w:ind w:left="0" w:leftChars="0" w:firstLine="0" w:firstLineChars="0"/>
        <w:textAlignment w:val="auto"/>
        <w:outlineLvl w:val="2"/>
        <w:rPr>
          <w:rFonts w:hint="eastAsia"/>
          <w:b/>
          <w:color w:val="auto"/>
          <w:sz w:val="28"/>
          <w:szCs w:val="21"/>
          <w:highlight w:val="none"/>
          <w:lang w:val="en-US" w:eastAsia="zh-CN"/>
        </w:rPr>
      </w:pPr>
      <w:r>
        <w:rPr>
          <w:rFonts w:hint="eastAsia"/>
          <w:b/>
          <w:color w:val="auto"/>
          <w:sz w:val="28"/>
          <w:szCs w:val="21"/>
          <w:highlight w:val="none"/>
          <w:lang w:val="en-US" w:eastAsia="zh-CN"/>
        </w:rPr>
        <w:t>6.4.2 稀浆封层材料技术要求</w:t>
      </w:r>
    </w:p>
    <w:p w14:paraId="354CC281">
      <w:pPr>
        <w:keepNext w:val="0"/>
        <w:keepLines w:val="0"/>
        <w:pageBreakBefore w:val="0"/>
        <w:widowControl w:val="0"/>
        <w:kinsoku/>
        <w:wordWrap/>
        <w:overflowPunct/>
        <w:topLinePunct/>
        <w:autoSpaceDE/>
        <w:autoSpaceDN/>
        <w:bidi w:val="0"/>
        <w:adjustRightInd/>
        <w:snapToGrid/>
        <w:spacing w:line="360" w:lineRule="auto"/>
        <w:ind w:firstLine="482" w:firstLineChars="200"/>
        <w:jc w:val="left"/>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lang w:eastAsia="zh-CN"/>
        </w:rPr>
        <w:t>（</w:t>
      </w:r>
      <w:r>
        <w:rPr>
          <w:rFonts w:hint="eastAsia" w:ascii="仿宋" w:hAnsi="仿宋" w:eastAsia="仿宋" w:cs="仿宋"/>
          <w:b/>
          <w:color w:val="auto"/>
          <w:sz w:val="24"/>
          <w:szCs w:val="24"/>
          <w:highlight w:val="none"/>
          <w:lang w:val="en-US" w:eastAsia="zh-CN"/>
        </w:rPr>
        <w:t>1</w:t>
      </w:r>
      <w:r>
        <w:rPr>
          <w:rFonts w:hint="eastAsia" w:ascii="仿宋" w:hAnsi="仿宋" w:eastAsia="仿宋" w:cs="仿宋"/>
          <w:b/>
          <w:color w:val="auto"/>
          <w:sz w:val="24"/>
          <w:szCs w:val="24"/>
          <w:highlight w:val="none"/>
          <w:lang w:eastAsia="zh-CN"/>
        </w:rPr>
        <w:t>）</w:t>
      </w:r>
      <w:r>
        <w:rPr>
          <w:rFonts w:hint="eastAsia" w:ascii="仿宋" w:hAnsi="仿宋" w:eastAsia="仿宋" w:cs="仿宋"/>
          <w:b/>
          <w:color w:val="auto"/>
          <w:sz w:val="24"/>
          <w:szCs w:val="24"/>
          <w:highlight w:val="none"/>
        </w:rPr>
        <w:t>材料</w:t>
      </w:r>
    </w:p>
    <w:p w14:paraId="173B403D">
      <w:pPr>
        <w:keepNext w:val="0"/>
        <w:keepLines w:val="0"/>
        <w:pageBreakBefore w:val="0"/>
        <w:kinsoku/>
        <w:wordWrap/>
        <w:overflowPunct/>
        <w:topLinePunct/>
        <w:bidi w:val="0"/>
        <w:snapToGrid/>
        <w:spacing w:line="360" w:lineRule="auto"/>
        <w:jc w:val="center"/>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rPr>
        <w:t>改性乳化沥青技术要求</w:t>
      </w:r>
    </w:p>
    <w:tbl>
      <w:tblPr>
        <w:tblStyle w:val="88"/>
        <w:tblW w:w="100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0"/>
        <w:gridCol w:w="1540"/>
        <w:gridCol w:w="1800"/>
        <w:gridCol w:w="2390"/>
        <w:gridCol w:w="2880"/>
      </w:tblGrid>
      <w:tr w14:paraId="77B35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jc w:val="center"/>
        </w:trPr>
        <w:tc>
          <w:tcPr>
            <w:tcW w:w="4780" w:type="dxa"/>
            <w:gridSpan w:val="3"/>
            <w:shd w:val="clear" w:color="auto" w:fill="C0C0C0"/>
            <w:noWrap w:val="0"/>
            <w:vAlign w:val="center"/>
          </w:tcPr>
          <w:p w14:paraId="71286459">
            <w:pPr>
              <w:keepNext w:val="0"/>
              <w:keepLines w:val="0"/>
              <w:pageBreakBefore w:val="0"/>
              <w:kinsoku/>
              <w:wordWrap/>
              <w:overflowPunct/>
              <w:topLinePunct/>
              <w:bidi w:val="0"/>
              <w:snapToGrid/>
              <w:spacing w:line="360" w:lineRule="auto"/>
              <w:ind w:firstLine="360" w:firstLineChars="15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指     标</w:t>
            </w:r>
          </w:p>
        </w:tc>
        <w:tc>
          <w:tcPr>
            <w:tcW w:w="2390" w:type="dxa"/>
            <w:shd w:val="clear" w:color="auto" w:fill="C0C0C0"/>
            <w:noWrap w:val="0"/>
            <w:vAlign w:val="center"/>
          </w:tcPr>
          <w:p w14:paraId="6F4D39BB">
            <w:pPr>
              <w:keepNext w:val="0"/>
              <w:keepLines w:val="0"/>
              <w:pageBreakBefore w:val="0"/>
              <w:kinsoku/>
              <w:wordWrap/>
              <w:overflowPunct/>
              <w:topLinePunct/>
              <w:bidi w:val="0"/>
              <w:snapToGrid/>
              <w:spacing w:line="360" w:lineRule="auto"/>
              <w:ind w:firstLine="360" w:firstLineChars="15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要求</w:t>
            </w:r>
          </w:p>
        </w:tc>
        <w:tc>
          <w:tcPr>
            <w:tcW w:w="2880" w:type="dxa"/>
            <w:shd w:val="clear" w:color="auto" w:fill="C0C0C0"/>
            <w:noWrap w:val="0"/>
            <w:vAlign w:val="center"/>
          </w:tcPr>
          <w:p w14:paraId="02B0B2AD">
            <w:pPr>
              <w:keepNext w:val="0"/>
              <w:keepLines w:val="0"/>
              <w:pageBreakBefore w:val="0"/>
              <w:kinsoku/>
              <w:wordWrap/>
              <w:overflowPunct/>
              <w:topLinePunct/>
              <w:bidi w:val="0"/>
              <w:snapToGrid/>
              <w:spacing w:line="360" w:lineRule="auto"/>
              <w:ind w:firstLine="360" w:firstLineChars="15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试验方法</w:t>
            </w:r>
          </w:p>
        </w:tc>
      </w:tr>
      <w:tr w14:paraId="48528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1" w:hRule="atLeast"/>
          <w:jc w:val="center"/>
        </w:trPr>
        <w:tc>
          <w:tcPr>
            <w:tcW w:w="4780" w:type="dxa"/>
            <w:gridSpan w:val="3"/>
            <w:shd w:val="clear" w:color="auto" w:fill="C0C0C0"/>
            <w:noWrap w:val="0"/>
            <w:vAlign w:val="center"/>
          </w:tcPr>
          <w:p w14:paraId="7DD30BD6">
            <w:pPr>
              <w:keepNext w:val="0"/>
              <w:keepLines w:val="0"/>
              <w:pageBreakBefore w:val="0"/>
              <w:kinsoku/>
              <w:wordWrap/>
              <w:overflowPunct/>
              <w:topLinePunct/>
              <w:bidi w:val="0"/>
              <w:snapToGrid/>
              <w:spacing w:line="360" w:lineRule="auto"/>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1.18mm筛上剩余量  %</w:t>
            </w:r>
          </w:p>
        </w:tc>
        <w:tc>
          <w:tcPr>
            <w:tcW w:w="2390" w:type="dxa"/>
            <w:noWrap w:val="0"/>
            <w:vAlign w:val="center"/>
          </w:tcPr>
          <w:p w14:paraId="2DD2C689">
            <w:pPr>
              <w:keepNext w:val="0"/>
              <w:keepLines w:val="0"/>
              <w:pageBreakBefore w:val="0"/>
              <w:kinsoku/>
              <w:wordWrap/>
              <w:overflowPunct/>
              <w:topLinePunct/>
              <w:bidi w:val="0"/>
              <w:snapToGrid/>
              <w:spacing w:line="360" w:lineRule="auto"/>
              <w:ind w:firstLine="360" w:firstLineChars="15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&lt;0.3</w:t>
            </w:r>
          </w:p>
        </w:tc>
        <w:tc>
          <w:tcPr>
            <w:tcW w:w="2880" w:type="dxa"/>
            <w:noWrap w:val="0"/>
            <w:vAlign w:val="center"/>
          </w:tcPr>
          <w:p w14:paraId="03E6E1E1">
            <w:pPr>
              <w:keepNext w:val="0"/>
              <w:keepLines w:val="0"/>
              <w:pageBreakBefore w:val="0"/>
              <w:kinsoku/>
              <w:wordWrap/>
              <w:overflowPunct/>
              <w:topLinePunct/>
              <w:bidi w:val="0"/>
              <w:snapToGrid/>
              <w:spacing w:line="360" w:lineRule="auto"/>
              <w:ind w:firstLine="360" w:firstLineChars="15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0652</w:t>
            </w:r>
          </w:p>
        </w:tc>
      </w:tr>
      <w:tr w14:paraId="5D04C6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780" w:type="dxa"/>
            <w:gridSpan w:val="3"/>
            <w:shd w:val="clear" w:color="auto" w:fill="C0C0C0"/>
            <w:noWrap w:val="0"/>
            <w:vAlign w:val="center"/>
          </w:tcPr>
          <w:p w14:paraId="1C977C93">
            <w:pPr>
              <w:keepNext w:val="0"/>
              <w:keepLines w:val="0"/>
              <w:pageBreakBefore w:val="0"/>
              <w:kinsoku/>
              <w:wordWrap/>
              <w:overflowPunct/>
              <w:topLinePunct/>
              <w:bidi w:val="0"/>
              <w:snapToGrid/>
              <w:spacing w:line="360" w:lineRule="auto"/>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贮存稳定性  (CH5)</w:t>
            </w:r>
          </w:p>
        </w:tc>
        <w:tc>
          <w:tcPr>
            <w:tcW w:w="2390" w:type="dxa"/>
            <w:noWrap w:val="0"/>
            <w:vAlign w:val="center"/>
          </w:tcPr>
          <w:p w14:paraId="387FB0AF">
            <w:pPr>
              <w:keepNext w:val="0"/>
              <w:keepLines w:val="0"/>
              <w:pageBreakBefore w:val="0"/>
              <w:kinsoku/>
              <w:wordWrap/>
              <w:overflowPunct/>
              <w:topLinePunct/>
              <w:bidi w:val="0"/>
              <w:snapToGrid/>
              <w:spacing w:line="360" w:lineRule="auto"/>
              <w:ind w:firstLine="360" w:firstLineChars="15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&lt;5</w:t>
            </w:r>
          </w:p>
        </w:tc>
        <w:tc>
          <w:tcPr>
            <w:tcW w:w="2880" w:type="dxa"/>
            <w:noWrap w:val="0"/>
            <w:vAlign w:val="center"/>
          </w:tcPr>
          <w:p w14:paraId="32D480C5">
            <w:pPr>
              <w:keepNext w:val="0"/>
              <w:keepLines w:val="0"/>
              <w:pageBreakBefore w:val="0"/>
              <w:kinsoku/>
              <w:wordWrap/>
              <w:overflowPunct/>
              <w:topLinePunct/>
              <w:bidi w:val="0"/>
              <w:snapToGrid/>
              <w:spacing w:line="360" w:lineRule="auto"/>
              <w:ind w:firstLine="360" w:firstLineChars="15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0655</w:t>
            </w:r>
          </w:p>
        </w:tc>
      </w:tr>
      <w:tr w14:paraId="0512A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7" w:hRule="atLeast"/>
          <w:jc w:val="center"/>
        </w:trPr>
        <w:tc>
          <w:tcPr>
            <w:tcW w:w="4780" w:type="dxa"/>
            <w:gridSpan w:val="3"/>
            <w:shd w:val="clear" w:color="auto" w:fill="C0C0C0"/>
            <w:noWrap w:val="0"/>
            <w:vAlign w:val="center"/>
          </w:tcPr>
          <w:p w14:paraId="456DD1B4">
            <w:pPr>
              <w:keepNext w:val="0"/>
              <w:keepLines w:val="0"/>
              <w:pageBreakBefore w:val="0"/>
              <w:kinsoku/>
              <w:wordWrap/>
              <w:overflowPunct/>
              <w:topLinePunct/>
              <w:bidi w:val="0"/>
              <w:snapToGrid/>
              <w:spacing w:line="360" w:lineRule="auto"/>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粘度   C255     （秒）</w:t>
            </w:r>
          </w:p>
        </w:tc>
        <w:tc>
          <w:tcPr>
            <w:tcW w:w="2390" w:type="dxa"/>
            <w:noWrap w:val="0"/>
            <w:vAlign w:val="center"/>
          </w:tcPr>
          <w:p w14:paraId="1310020A">
            <w:pPr>
              <w:keepNext w:val="0"/>
              <w:keepLines w:val="0"/>
              <w:pageBreakBefore w:val="0"/>
              <w:kinsoku/>
              <w:wordWrap/>
              <w:overflowPunct/>
              <w:topLinePunct/>
              <w:bidi w:val="0"/>
              <w:snapToGrid/>
              <w:spacing w:line="360" w:lineRule="auto"/>
              <w:ind w:firstLine="360" w:firstLineChars="15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≥16</w:t>
            </w:r>
          </w:p>
        </w:tc>
        <w:tc>
          <w:tcPr>
            <w:tcW w:w="2880" w:type="dxa"/>
            <w:noWrap w:val="0"/>
            <w:vAlign w:val="center"/>
          </w:tcPr>
          <w:p w14:paraId="06E2B0CE">
            <w:pPr>
              <w:keepNext w:val="0"/>
              <w:keepLines w:val="0"/>
              <w:pageBreakBefore w:val="0"/>
              <w:kinsoku/>
              <w:wordWrap/>
              <w:overflowPunct/>
              <w:topLinePunct/>
              <w:bidi w:val="0"/>
              <w:snapToGrid/>
              <w:spacing w:line="360" w:lineRule="auto"/>
              <w:ind w:firstLine="360" w:firstLineChars="15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0621</w:t>
            </w:r>
          </w:p>
        </w:tc>
      </w:tr>
      <w:tr w14:paraId="59B96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780" w:type="dxa"/>
            <w:gridSpan w:val="3"/>
            <w:shd w:val="clear" w:color="auto" w:fill="C0C0C0"/>
            <w:noWrap w:val="0"/>
            <w:vAlign w:val="center"/>
          </w:tcPr>
          <w:p w14:paraId="0E4C98FF">
            <w:pPr>
              <w:keepNext w:val="0"/>
              <w:keepLines w:val="0"/>
              <w:pageBreakBefore w:val="0"/>
              <w:kinsoku/>
              <w:wordWrap/>
              <w:overflowPunct/>
              <w:topLinePunct/>
              <w:bidi w:val="0"/>
              <w:snapToGrid/>
              <w:spacing w:line="360" w:lineRule="auto"/>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蒸发残留物含量   %</w:t>
            </w:r>
          </w:p>
        </w:tc>
        <w:tc>
          <w:tcPr>
            <w:tcW w:w="2390" w:type="dxa"/>
            <w:noWrap w:val="0"/>
            <w:vAlign w:val="center"/>
          </w:tcPr>
          <w:p w14:paraId="1D5F62FB">
            <w:pPr>
              <w:keepNext w:val="0"/>
              <w:keepLines w:val="0"/>
              <w:pageBreakBefore w:val="0"/>
              <w:kinsoku/>
              <w:wordWrap/>
              <w:overflowPunct/>
              <w:topLinePunct/>
              <w:bidi w:val="0"/>
              <w:snapToGrid/>
              <w:spacing w:line="360" w:lineRule="auto"/>
              <w:ind w:firstLine="360" w:firstLineChars="15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≥55</w:t>
            </w:r>
          </w:p>
        </w:tc>
        <w:tc>
          <w:tcPr>
            <w:tcW w:w="2880" w:type="dxa"/>
            <w:noWrap w:val="0"/>
            <w:vAlign w:val="center"/>
          </w:tcPr>
          <w:p w14:paraId="7A5BD256">
            <w:pPr>
              <w:keepNext w:val="0"/>
              <w:keepLines w:val="0"/>
              <w:pageBreakBefore w:val="0"/>
              <w:kinsoku/>
              <w:wordWrap/>
              <w:overflowPunct/>
              <w:topLinePunct/>
              <w:bidi w:val="0"/>
              <w:snapToGrid/>
              <w:spacing w:line="360" w:lineRule="auto"/>
              <w:ind w:firstLine="360" w:firstLineChars="15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0651</w:t>
            </w:r>
          </w:p>
        </w:tc>
      </w:tr>
      <w:tr w14:paraId="17718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jc w:val="center"/>
        </w:trPr>
        <w:tc>
          <w:tcPr>
            <w:tcW w:w="1440" w:type="dxa"/>
            <w:vMerge w:val="restart"/>
            <w:shd w:val="clear" w:color="auto" w:fill="C0C0C0"/>
            <w:noWrap w:val="0"/>
            <w:vAlign w:val="center"/>
          </w:tcPr>
          <w:p w14:paraId="1204042D">
            <w:pPr>
              <w:keepNext w:val="0"/>
              <w:keepLines w:val="0"/>
              <w:pageBreakBefore w:val="0"/>
              <w:kinsoku/>
              <w:wordWrap/>
              <w:overflowPunct/>
              <w:topLinePunct/>
              <w:bidi w:val="0"/>
              <w:snapToGrid/>
              <w:spacing w:line="360" w:lineRule="auto"/>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蒸发残留物性质</w:t>
            </w:r>
          </w:p>
        </w:tc>
        <w:tc>
          <w:tcPr>
            <w:tcW w:w="3340" w:type="dxa"/>
            <w:gridSpan w:val="2"/>
            <w:shd w:val="clear" w:color="auto" w:fill="C0C0C0"/>
            <w:noWrap w:val="0"/>
            <w:vAlign w:val="center"/>
          </w:tcPr>
          <w:p w14:paraId="4DACCBC3">
            <w:pPr>
              <w:keepNext w:val="0"/>
              <w:keepLines w:val="0"/>
              <w:pageBreakBefore w:val="0"/>
              <w:kinsoku/>
              <w:wordWrap/>
              <w:overflowPunct/>
              <w:topLinePunct/>
              <w:bidi w:val="0"/>
              <w:snapToGrid/>
              <w:spacing w:line="360" w:lineRule="auto"/>
              <w:ind w:firstLine="360" w:firstLineChars="15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针入度  25℃  0.1mm</w:t>
            </w:r>
          </w:p>
        </w:tc>
        <w:tc>
          <w:tcPr>
            <w:tcW w:w="2390" w:type="dxa"/>
            <w:noWrap w:val="0"/>
            <w:vAlign w:val="center"/>
          </w:tcPr>
          <w:p w14:paraId="6E1DFF69">
            <w:pPr>
              <w:keepNext w:val="0"/>
              <w:keepLines w:val="0"/>
              <w:pageBreakBefore w:val="0"/>
              <w:kinsoku/>
              <w:wordWrap/>
              <w:overflowPunct/>
              <w:topLinePunct/>
              <w:bidi w:val="0"/>
              <w:snapToGrid/>
              <w:spacing w:line="360" w:lineRule="auto"/>
              <w:ind w:firstLine="360" w:firstLineChars="15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40～100</w:t>
            </w:r>
          </w:p>
        </w:tc>
        <w:tc>
          <w:tcPr>
            <w:tcW w:w="2880" w:type="dxa"/>
            <w:noWrap w:val="0"/>
            <w:vAlign w:val="center"/>
          </w:tcPr>
          <w:p w14:paraId="09FD669D">
            <w:pPr>
              <w:keepNext w:val="0"/>
              <w:keepLines w:val="0"/>
              <w:pageBreakBefore w:val="0"/>
              <w:kinsoku/>
              <w:wordWrap/>
              <w:overflowPunct/>
              <w:topLinePunct/>
              <w:bidi w:val="0"/>
              <w:snapToGrid/>
              <w:spacing w:line="360" w:lineRule="auto"/>
              <w:ind w:firstLine="360" w:firstLineChars="15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0604</w:t>
            </w:r>
          </w:p>
        </w:tc>
      </w:tr>
      <w:tr w14:paraId="6D637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1" w:hRule="atLeast"/>
          <w:jc w:val="center"/>
        </w:trPr>
        <w:tc>
          <w:tcPr>
            <w:tcW w:w="1440" w:type="dxa"/>
            <w:vMerge w:val="continue"/>
            <w:shd w:val="clear" w:color="auto" w:fill="C0C0C0"/>
            <w:noWrap w:val="0"/>
            <w:vAlign w:val="center"/>
          </w:tcPr>
          <w:p w14:paraId="27013D27">
            <w:pPr>
              <w:keepNext w:val="0"/>
              <w:keepLines w:val="0"/>
              <w:pageBreakBefore w:val="0"/>
              <w:kinsoku/>
              <w:wordWrap/>
              <w:overflowPunct/>
              <w:topLinePunct/>
              <w:bidi w:val="0"/>
              <w:snapToGrid/>
              <w:spacing w:line="360" w:lineRule="auto"/>
              <w:jc w:val="center"/>
              <w:textAlignment w:val="auto"/>
              <w:rPr>
                <w:rFonts w:hint="eastAsia" w:ascii="仿宋" w:hAnsi="仿宋" w:eastAsia="仿宋" w:cs="仿宋"/>
                <w:color w:val="auto"/>
                <w:sz w:val="24"/>
                <w:szCs w:val="24"/>
                <w:highlight w:val="none"/>
              </w:rPr>
            </w:pPr>
          </w:p>
        </w:tc>
        <w:tc>
          <w:tcPr>
            <w:tcW w:w="3340" w:type="dxa"/>
            <w:gridSpan w:val="2"/>
            <w:shd w:val="clear" w:color="auto" w:fill="C0C0C0"/>
            <w:noWrap w:val="0"/>
            <w:vAlign w:val="center"/>
          </w:tcPr>
          <w:p w14:paraId="4626A59D">
            <w:pPr>
              <w:keepNext w:val="0"/>
              <w:keepLines w:val="0"/>
              <w:pageBreakBefore w:val="0"/>
              <w:kinsoku/>
              <w:wordWrap/>
              <w:overflowPunct/>
              <w:topLinePunct/>
              <w:bidi w:val="0"/>
              <w:snapToGrid/>
              <w:spacing w:line="360" w:lineRule="auto"/>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 xml:space="preserve">延度（5℃，5cm/min）cm </w:t>
            </w:r>
          </w:p>
        </w:tc>
        <w:tc>
          <w:tcPr>
            <w:tcW w:w="2390" w:type="dxa"/>
            <w:noWrap w:val="0"/>
            <w:vAlign w:val="center"/>
          </w:tcPr>
          <w:p w14:paraId="418D91E6">
            <w:pPr>
              <w:keepNext w:val="0"/>
              <w:keepLines w:val="0"/>
              <w:pageBreakBefore w:val="0"/>
              <w:kinsoku/>
              <w:wordWrap/>
              <w:overflowPunct/>
              <w:topLinePunct/>
              <w:bidi w:val="0"/>
              <w:snapToGrid/>
              <w:spacing w:line="360" w:lineRule="auto"/>
              <w:ind w:firstLine="360" w:firstLineChars="15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&gt;50</w:t>
            </w:r>
          </w:p>
        </w:tc>
        <w:tc>
          <w:tcPr>
            <w:tcW w:w="2880" w:type="dxa"/>
            <w:noWrap w:val="0"/>
            <w:vAlign w:val="center"/>
          </w:tcPr>
          <w:p w14:paraId="664C02DF">
            <w:pPr>
              <w:keepNext w:val="0"/>
              <w:keepLines w:val="0"/>
              <w:pageBreakBefore w:val="0"/>
              <w:kinsoku/>
              <w:wordWrap/>
              <w:overflowPunct/>
              <w:topLinePunct/>
              <w:bidi w:val="0"/>
              <w:snapToGrid/>
              <w:spacing w:line="360" w:lineRule="auto"/>
              <w:ind w:firstLine="360" w:firstLineChars="15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0605</w:t>
            </w:r>
          </w:p>
        </w:tc>
      </w:tr>
      <w:tr w14:paraId="14375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9" w:hRule="atLeast"/>
          <w:jc w:val="center"/>
        </w:trPr>
        <w:tc>
          <w:tcPr>
            <w:tcW w:w="1440" w:type="dxa"/>
            <w:vMerge w:val="continue"/>
            <w:shd w:val="clear" w:color="auto" w:fill="C0C0C0"/>
            <w:noWrap w:val="0"/>
            <w:vAlign w:val="center"/>
          </w:tcPr>
          <w:p w14:paraId="02CB563A">
            <w:pPr>
              <w:keepNext w:val="0"/>
              <w:keepLines w:val="0"/>
              <w:pageBreakBefore w:val="0"/>
              <w:kinsoku/>
              <w:wordWrap/>
              <w:overflowPunct/>
              <w:topLinePunct/>
              <w:bidi w:val="0"/>
              <w:snapToGrid/>
              <w:spacing w:line="360" w:lineRule="auto"/>
              <w:jc w:val="center"/>
              <w:textAlignment w:val="auto"/>
              <w:rPr>
                <w:rFonts w:hint="eastAsia" w:ascii="仿宋" w:hAnsi="仿宋" w:eastAsia="仿宋" w:cs="仿宋"/>
                <w:color w:val="auto"/>
                <w:sz w:val="24"/>
                <w:szCs w:val="24"/>
                <w:highlight w:val="none"/>
              </w:rPr>
            </w:pPr>
          </w:p>
        </w:tc>
        <w:tc>
          <w:tcPr>
            <w:tcW w:w="1540" w:type="dxa"/>
            <w:shd w:val="clear" w:color="auto" w:fill="C0C0C0"/>
            <w:noWrap w:val="0"/>
            <w:vAlign w:val="center"/>
          </w:tcPr>
          <w:p w14:paraId="5B3E0FF0">
            <w:pPr>
              <w:keepNext w:val="0"/>
              <w:keepLines w:val="0"/>
              <w:pageBreakBefore w:val="0"/>
              <w:kinsoku/>
              <w:wordWrap/>
              <w:overflowPunct/>
              <w:topLinePunct/>
              <w:bidi w:val="0"/>
              <w:snapToGrid/>
              <w:spacing w:line="360" w:lineRule="auto"/>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软化点 ℃</w:t>
            </w:r>
          </w:p>
        </w:tc>
        <w:tc>
          <w:tcPr>
            <w:tcW w:w="1800" w:type="dxa"/>
            <w:shd w:val="clear" w:color="auto" w:fill="C0C0C0"/>
            <w:noWrap w:val="0"/>
            <w:vAlign w:val="center"/>
          </w:tcPr>
          <w:p w14:paraId="4F57E0D1">
            <w:pPr>
              <w:keepNext w:val="0"/>
              <w:keepLines w:val="0"/>
              <w:pageBreakBefore w:val="0"/>
              <w:kinsoku/>
              <w:wordWrap/>
              <w:overflowPunct/>
              <w:topLinePunct/>
              <w:bidi w:val="0"/>
              <w:snapToGrid/>
              <w:spacing w:line="360" w:lineRule="auto"/>
              <w:ind w:firstLine="360" w:firstLineChars="15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5℃  cm</w:t>
            </w:r>
          </w:p>
        </w:tc>
        <w:tc>
          <w:tcPr>
            <w:tcW w:w="2390" w:type="dxa"/>
            <w:noWrap w:val="0"/>
            <w:vAlign w:val="center"/>
          </w:tcPr>
          <w:p w14:paraId="6C6E26E7">
            <w:pPr>
              <w:keepNext w:val="0"/>
              <w:keepLines w:val="0"/>
              <w:pageBreakBefore w:val="0"/>
              <w:kinsoku/>
              <w:wordWrap/>
              <w:overflowPunct/>
              <w:topLinePunct/>
              <w:bidi w:val="0"/>
              <w:snapToGrid/>
              <w:spacing w:line="360" w:lineRule="auto"/>
              <w:ind w:firstLine="360" w:firstLineChars="15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&gt;10</w:t>
            </w:r>
          </w:p>
        </w:tc>
        <w:tc>
          <w:tcPr>
            <w:tcW w:w="2880" w:type="dxa"/>
            <w:noWrap w:val="0"/>
            <w:vAlign w:val="center"/>
          </w:tcPr>
          <w:p w14:paraId="58E20804">
            <w:pPr>
              <w:keepNext w:val="0"/>
              <w:keepLines w:val="0"/>
              <w:pageBreakBefore w:val="0"/>
              <w:kinsoku/>
              <w:wordWrap/>
              <w:overflowPunct/>
              <w:topLinePunct/>
              <w:bidi w:val="0"/>
              <w:snapToGrid/>
              <w:spacing w:line="360" w:lineRule="auto"/>
              <w:ind w:firstLine="360" w:firstLineChars="15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0606</w:t>
            </w:r>
          </w:p>
        </w:tc>
      </w:tr>
    </w:tbl>
    <w:p w14:paraId="2760EA25">
      <w:pPr>
        <w:keepNext w:val="0"/>
        <w:keepLines w:val="0"/>
        <w:pageBreakBefore w:val="0"/>
        <w:widowControl w:val="0"/>
        <w:kinsoku/>
        <w:wordWrap/>
        <w:overflowPunct/>
        <w:topLinePunct/>
        <w:autoSpaceDE/>
        <w:autoSpaceDN/>
        <w:bidi w:val="0"/>
        <w:adjustRightInd/>
        <w:snapToGrid/>
        <w:spacing w:line="360" w:lineRule="auto"/>
        <w:ind w:firstLine="482" w:firstLineChars="200"/>
        <w:jc w:val="left"/>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lang w:eastAsia="zh-CN"/>
        </w:rPr>
        <w:t>（</w:t>
      </w:r>
      <w:r>
        <w:rPr>
          <w:rFonts w:hint="eastAsia" w:ascii="仿宋" w:hAnsi="仿宋" w:eastAsia="仿宋" w:cs="仿宋"/>
          <w:b/>
          <w:color w:val="auto"/>
          <w:sz w:val="24"/>
          <w:szCs w:val="24"/>
          <w:highlight w:val="none"/>
          <w:lang w:val="en-US" w:eastAsia="zh-CN"/>
        </w:rPr>
        <w:t>2</w:t>
      </w:r>
      <w:r>
        <w:rPr>
          <w:rFonts w:hint="eastAsia" w:ascii="仿宋" w:hAnsi="仿宋" w:eastAsia="仿宋" w:cs="仿宋"/>
          <w:b/>
          <w:color w:val="auto"/>
          <w:sz w:val="24"/>
          <w:szCs w:val="24"/>
          <w:highlight w:val="none"/>
          <w:lang w:eastAsia="zh-CN"/>
        </w:rPr>
        <w:t>）</w:t>
      </w:r>
      <w:r>
        <w:rPr>
          <w:rFonts w:hint="eastAsia" w:ascii="仿宋" w:hAnsi="仿宋" w:eastAsia="仿宋" w:cs="仿宋"/>
          <w:b/>
          <w:color w:val="auto"/>
          <w:sz w:val="24"/>
          <w:szCs w:val="24"/>
          <w:highlight w:val="none"/>
        </w:rPr>
        <w:t>性能</w:t>
      </w:r>
    </w:p>
    <w:p w14:paraId="2B4B131D">
      <w:pPr>
        <w:keepNext w:val="0"/>
        <w:keepLines w:val="0"/>
        <w:pageBreakBefore w:val="0"/>
        <w:widowControl w:val="0"/>
        <w:kinsoku/>
        <w:wordWrap/>
        <w:overflowPunct/>
        <w:topLinePunct/>
        <w:autoSpaceDE/>
        <w:autoSpaceDN/>
        <w:bidi w:val="0"/>
        <w:adjustRightInd/>
        <w:snapToGrid/>
        <w:spacing w:line="360" w:lineRule="auto"/>
        <w:ind w:firstLine="480" w:firstLineChars="200"/>
        <w:jc w:val="left"/>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rPr>
        <w:t>改性乳化沥青稀浆封层混合料应满足下表性能要求</w:t>
      </w:r>
      <w:r>
        <w:rPr>
          <w:rFonts w:hint="eastAsia" w:ascii="仿宋" w:hAnsi="仿宋" w:eastAsia="仿宋" w:cs="仿宋"/>
          <w:color w:val="auto"/>
          <w:sz w:val="24"/>
          <w:szCs w:val="24"/>
          <w:highlight w:val="none"/>
          <w:lang w:eastAsia="zh-CN"/>
        </w:rPr>
        <w:t>。</w:t>
      </w:r>
    </w:p>
    <w:p w14:paraId="46CB7FC6">
      <w:pPr>
        <w:keepNext w:val="0"/>
        <w:keepLines w:val="0"/>
        <w:pageBreakBefore w:val="0"/>
        <w:kinsoku/>
        <w:wordWrap/>
        <w:overflowPunct/>
        <w:topLinePunct/>
        <w:bidi w:val="0"/>
        <w:snapToGrid/>
        <w:spacing w:line="360" w:lineRule="auto"/>
        <w:jc w:val="center"/>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rPr>
        <w:t>稀浆封层混合料性能要求</w:t>
      </w:r>
    </w:p>
    <w:tbl>
      <w:tblPr>
        <w:tblStyle w:val="88"/>
        <w:tblW w:w="0" w:type="auto"/>
        <w:jc w:val="center"/>
        <w:tblBorders>
          <w:top w:val="single" w:color="auto" w:sz="12" w:space="0"/>
          <w:left w:val="single" w:color="auto" w:sz="4"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582"/>
        <w:gridCol w:w="4477"/>
      </w:tblGrid>
      <w:tr w14:paraId="1B054020">
        <w:tblPrEx>
          <w:tblBorders>
            <w:top w:val="single" w:color="auto" w:sz="12" w:space="0"/>
            <w:left w:val="single" w:color="auto" w:sz="4"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5582" w:type="dxa"/>
            <w:tcBorders>
              <w:top w:val="single" w:color="auto" w:sz="4" w:space="0"/>
              <w:bottom w:val="single" w:color="auto" w:sz="4" w:space="0"/>
            </w:tcBorders>
            <w:shd w:val="clear" w:color="auto" w:fill="C0C0C0"/>
            <w:noWrap w:val="0"/>
            <w:vAlign w:val="center"/>
          </w:tcPr>
          <w:p w14:paraId="78004B9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技  术  指  标</w:t>
            </w:r>
          </w:p>
        </w:tc>
        <w:tc>
          <w:tcPr>
            <w:tcW w:w="4477" w:type="dxa"/>
            <w:tcBorders>
              <w:top w:val="single" w:color="auto" w:sz="4" w:space="0"/>
              <w:bottom w:val="single" w:color="auto" w:sz="4" w:space="0"/>
              <w:right w:val="single" w:color="auto" w:sz="4" w:space="0"/>
            </w:tcBorders>
            <w:shd w:val="clear" w:color="auto" w:fill="C0C0C0"/>
            <w:noWrap w:val="0"/>
            <w:vAlign w:val="center"/>
          </w:tcPr>
          <w:p w14:paraId="69689AE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要      求</w:t>
            </w:r>
          </w:p>
        </w:tc>
      </w:tr>
      <w:tr w14:paraId="2C6F8DCE">
        <w:tblPrEx>
          <w:tblBorders>
            <w:top w:val="single" w:color="auto" w:sz="12" w:space="0"/>
            <w:left w:val="single" w:color="auto" w:sz="4"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5582" w:type="dxa"/>
            <w:tcBorders>
              <w:top w:val="single" w:color="auto" w:sz="4" w:space="0"/>
              <w:bottom w:val="single" w:color="auto" w:sz="4" w:space="0"/>
            </w:tcBorders>
            <w:shd w:val="clear" w:color="auto" w:fill="C0C0C0"/>
            <w:noWrap w:val="0"/>
            <w:vAlign w:val="center"/>
          </w:tcPr>
          <w:p w14:paraId="52F76ED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磨耗损失（湿轮磨耗试验）</w:t>
            </w:r>
          </w:p>
        </w:tc>
        <w:tc>
          <w:tcPr>
            <w:tcW w:w="4477" w:type="dxa"/>
            <w:tcBorders>
              <w:top w:val="single" w:color="auto" w:sz="4" w:space="0"/>
              <w:right w:val="single" w:color="auto" w:sz="4" w:space="0"/>
            </w:tcBorders>
            <w:noWrap w:val="0"/>
            <w:vAlign w:val="center"/>
          </w:tcPr>
          <w:p w14:paraId="07B06350">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不大于800g/m</w:t>
            </w:r>
            <w:r>
              <w:rPr>
                <w:rFonts w:hint="eastAsia" w:ascii="仿宋" w:hAnsi="仿宋" w:eastAsia="仿宋" w:cs="仿宋"/>
                <w:color w:val="auto"/>
                <w:sz w:val="24"/>
                <w:szCs w:val="24"/>
                <w:highlight w:val="none"/>
                <w:vertAlign w:val="superscript"/>
              </w:rPr>
              <w:t>2</w:t>
            </w:r>
          </w:p>
        </w:tc>
      </w:tr>
      <w:tr w14:paraId="7AE72E97">
        <w:tblPrEx>
          <w:tblBorders>
            <w:top w:val="single" w:color="auto" w:sz="12" w:space="0"/>
            <w:left w:val="single" w:color="auto" w:sz="4" w:space="0"/>
            <w:bottom w:val="single" w:color="auto" w:sz="12" w:space="0"/>
            <w:right w:val="none" w:color="auto" w:sz="0" w:space="0"/>
            <w:insideH w:val="single" w:color="auto" w:sz="4" w:space="0"/>
            <w:insideV w:val="single" w:color="auto" w:sz="4" w:space="0"/>
          </w:tblBorders>
        </w:tblPrEx>
        <w:trPr>
          <w:trHeight w:val="486" w:hRule="atLeast"/>
          <w:jc w:val="center"/>
        </w:trPr>
        <w:tc>
          <w:tcPr>
            <w:tcW w:w="5582" w:type="dxa"/>
            <w:tcBorders>
              <w:top w:val="single" w:color="auto" w:sz="4" w:space="0"/>
              <w:bottom w:val="single" w:color="auto" w:sz="4" w:space="0"/>
            </w:tcBorders>
            <w:shd w:val="clear" w:color="auto" w:fill="C0C0C0"/>
            <w:noWrap w:val="0"/>
            <w:vAlign w:val="center"/>
          </w:tcPr>
          <w:p w14:paraId="60B282E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砂吸收量（轮荷压砂试验）</w:t>
            </w:r>
          </w:p>
        </w:tc>
        <w:tc>
          <w:tcPr>
            <w:tcW w:w="4477" w:type="dxa"/>
            <w:tcBorders>
              <w:right w:val="single" w:color="auto" w:sz="4" w:space="0"/>
            </w:tcBorders>
            <w:noWrap w:val="0"/>
            <w:vAlign w:val="center"/>
          </w:tcPr>
          <w:p w14:paraId="256FF825">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不大于600g/m</w:t>
            </w:r>
            <w:r>
              <w:rPr>
                <w:rFonts w:hint="eastAsia" w:ascii="仿宋" w:hAnsi="仿宋" w:eastAsia="仿宋" w:cs="仿宋"/>
                <w:color w:val="auto"/>
                <w:sz w:val="24"/>
                <w:szCs w:val="24"/>
                <w:highlight w:val="none"/>
                <w:vertAlign w:val="superscript"/>
              </w:rPr>
              <w:t>2</w:t>
            </w:r>
          </w:p>
        </w:tc>
      </w:tr>
      <w:tr w14:paraId="48AE4B8A">
        <w:tblPrEx>
          <w:tblBorders>
            <w:top w:val="single" w:color="auto" w:sz="12" w:space="0"/>
            <w:left w:val="single" w:color="auto" w:sz="4" w:space="0"/>
            <w:bottom w:val="single" w:color="auto" w:sz="12" w:space="0"/>
            <w:right w:val="none" w:color="auto" w:sz="0" w:space="0"/>
            <w:insideH w:val="single" w:color="auto" w:sz="4" w:space="0"/>
            <w:insideV w:val="single" w:color="auto" w:sz="4" w:space="0"/>
          </w:tblBorders>
        </w:tblPrEx>
        <w:trPr>
          <w:trHeight w:val="496" w:hRule="atLeast"/>
          <w:jc w:val="center"/>
        </w:trPr>
        <w:tc>
          <w:tcPr>
            <w:tcW w:w="5582" w:type="dxa"/>
            <w:tcBorders>
              <w:top w:val="single" w:color="auto" w:sz="4" w:space="0"/>
              <w:bottom w:val="single" w:color="auto" w:sz="4" w:space="0"/>
            </w:tcBorders>
            <w:shd w:val="clear" w:color="auto" w:fill="C0C0C0"/>
            <w:noWrap w:val="0"/>
            <w:vAlign w:val="center"/>
          </w:tcPr>
          <w:p w14:paraId="7BE3FA07">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稠     度</w:t>
            </w:r>
          </w:p>
        </w:tc>
        <w:tc>
          <w:tcPr>
            <w:tcW w:w="4477" w:type="dxa"/>
            <w:tcBorders>
              <w:bottom w:val="single" w:color="auto" w:sz="4" w:space="0"/>
              <w:right w:val="single" w:color="auto" w:sz="4" w:space="0"/>
            </w:tcBorders>
            <w:noWrap w:val="0"/>
            <w:vAlign w:val="center"/>
          </w:tcPr>
          <w:p w14:paraId="46D43E1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2～3cm</w:t>
            </w:r>
          </w:p>
        </w:tc>
      </w:tr>
    </w:tbl>
    <w:p w14:paraId="073580CE">
      <w:pPr>
        <w:keepNext w:val="0"/>
        <w:keepLines w:val="0"/>
        <w:pageBreakBefore w:val="0"/>
        <w:kinsoku/>
        <w:wordWrap/>
        <w:overflowPunct/>
        <w:topLinePunct/>
        <w:bidi w:val="0"/>
        <w:snapToGrid/>
        <w:spacing w:line="360" w:lineRule="auto"/>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lang w:eastAsia="zh-CN"/>
        </w:rPr>
        <w:t>（</w:t>
      </w:r>
      <w:r>
        <w:rPr>
          <w:rFonts w:hint="eastAsia" w:ascii="仿宋" w:hAnsi="仿宋" w:eastAsia="仿宋" w:cs="仿宋"/>
          <w:b/>
          <w:color w:val="auto"/>
          <w:sz w:val="24"/>
          <w:szCs w:val="24"/>
          <w:highlight w:val="none"/>
          <w:lang w:val="en-US" w:eastAsia="zh-CN"/>
        </w:rPr>
        <w:t>3</w:t>
      </w:r>
      <w:r>
        <w:rPr>
          <w:rFonts w:hint="eastAsia" w:ascii="仿宋" w:hAnsi="仿宋" w:eastAsia="仿宋" w:cs="仿宋"/>
          <w:b/>
          <w:color w:val="auto"/>
          <w:sz w:val="24"/>
          <w:szCs w:val="24"/>
          <w:highlight w:val="none"/>
          <w:lang w:eastAsia="zh-CN"/>
        </w:rPr>
        <w:t>）</w:t>
      </w:r>
      <w:r>
        <w:rPr>
          <w:rFonts w:hint="eastAsia" w:ascii="仿宋" w:hAnsi="仿宋" w:eastAsia="仿宋" w:cs="仿宋"/>
          <w:b/>
          <w:color w:val="auto"/>
          <w:sz w:val="24"/>
          <w:szCs w:val="24"/>
          <w:highlight w:val="none"/>
        </w:rPr>
        <w:t>施工技术要求</w:t>
      </w:r>
    </w:p>
    <w:p w14:paraId="2EA73C63">
      <w:pPr>
        <w:keepNext w:val="0"/>
        <w:keepLines w:val="0"/>
        <w:pageBreakBefore w:val="0"/>
        <w:kinsoku/>
        <w:wordWrap/>
        <w:overflowPunct/>
        <w:topLinePunct/>
        <w:bidi w:val="0"/>
        <w:snapToGrid/>
        <w:spacing w:line="36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稀浆封层应使用改性乳化沥青,且改性乳化沥青宜现场制备；</w:t>
      </w:r>
    </w:p>
    <w:p w14:paraId="4F936022">
      <w:pPr>
        <w:keepNext w:val="0"/>
        <w:keepLines w:val="0"/>
        <w:pageBreakBefore w:val="0"/>
        <w:kinsoku/>
        <w:wordWrap/>
        <w:overflowPunct/>
        <w:topLinePunct/>
        <w:bidi w:val="0"/>
        <w:snapToGrid/>
        <w:spacing w:line="36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为增强沥青与集料的粘结力，缩短改性乳化沥青破乳时间，可掺加2～3%的32.5级的普通硅酸盐水泥；</w:t>
      </w:r>
    </w:p>
    <w:p w14:paraId="4A9385AC">
      <w:pPr>
        <w:keepNext w:val="0"/>
        <w:keepLines w:val="0"/>
        <w:pageBreakBefore w:val="0"/>
        <w:kinsoku/>
        <w:wordWrap/>
        <w:overflowPunct/>
        <w:topLinePunct/>
        <w:bidi w:val="0"/>
        <w:snapToGrid/>
        <w:spacing w:line="36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稀浆封层的配合比需经反复试验确定；</w:t>
      </w:r>
    </w:p>
    <w:p w14:paraId="3C216E29">
      <w:pPr>
        <w:keepNext w:val="0"/>
        <w:keepLines w:val="0"/>
        <w:pageBreakBefore w:val="0"/>
        <w:kinsoku/>
        <w:wordWrap/>
        <w:overflowPunct/>
        <w:topLinePunct/>
        <w:bidi w:val="0"/>
        <w:snapToGrid/>
        <w:spacing w:line="36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混合料铺筑后宜采用8～10T轮胎压路机连续碾压4～8遍，在碾压过程中，禁止压路机急刹车，不得在新摊混合料上调头。</w:t>
      </w:r>
    </w:p>
    <w:p w14:paraId="3F0A2F92">
      <w:pPr>
        <w:keepNext w:val="0"/>
        <w:keepLines w:val="0"/>
        <w:pageBreakBefore w:val="0"/>
        <w:widowControl w:val="0"/>
        <w:kinsoku/>
        <w:wordWrap/>
        <w:overflowPunct/>
        <w:topLinePunct w:val="0"/>
        <w:autoSpaceDE w:val="0"/>
        <w:autoSpaceDN w:val="0"/>
        <w:bidi w:val="0"/>
        <w:adjustRightInd/>
        <w:snapToGrid/>
        <w:spacing w:line="360" w:lineRule="auto"/>
        <w:ind w:left="0" w:leftChars="0" w:firstLine="0" w:firstLineChars="0"/>
        <w:textAlignment w:val="auto"/>
        <w:outlineLvl w:val="2"/>
        <w:rPr>
          <w:rFonts w:hint="eastAsia"/>
          <w:b/>
          <w:color w:val="auto"/>
          <w:sz w:val="28"/>
          <w:szCs w:val="21"/>
          <w:highlight w:val="none"/>
          <w:lang w:val="en-US" w:eastAsia="zh-CN"/>
        </w:rPr>
      </w:pPr>
      <w:r>
        <w:rPr>
          <w:rFonts w:hint="eastAsia"/>
          <w:b/>
          <w:color w:val="auto"/>
          <w:sz w:val="28"/>
          <w:szCs w:val="21"/>
          <w:highlight w:val="none"/>
          <w:lang w:val="en-US" w:eastAsia="zh-CN"/>
        </w:rPr>
        <w:t>6.4.3 沥青混凝土材料技术要求</w:t>
      </w:r>
    </w:p>
    <w:p w14:paraId="616D1183">
      <w:pPr>
        <w:keepNext w:val="0"/>
        <w:keepLines w:val="0"/>
        <w:pageBreakBefore w:val="0"/>
        <w:widowControl w:val="0"/>
        <w:kinsoku/>
        <w:wordWrap/>
        <w:overflowPunct/>
        <w:topLinePunct/>
        <w:autoSpaceDE/>
        <w:autoSpaceDN/>
        <w:bidi w:val="0"/>
        <w:adjustRightInd/>
        <w:snapToGrid/>
        <w:spacing w:line="360" w:lineRule="auto"/>
        <w:ind w:firstLine="482" w:firstLineChars="200"/>
        <w:jc w:val="left"/>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lang w:eastAsia="zh-CN"/>
        </w:rPr>
        <w:t>（</w:t>
      </w:r>
      <w:r>
        <w:rPr>
          <w:rFonts w:hint="eastAsia" w:ascii="仿宋" w:hAnsi="仿宋" w:eastAsia="仿宋" w:cs="仿宋"/>
          <w:b/>
          <w:color w:val="auto"/>
          <w:sz w:val="24"/>
          <w:szCs w:val="24"/>
          <w:highlight w:val="none"/>
          <w:lang w:val="en-US" w:eastAsia="zh-CN"/>
        </w:rPr>
        <w:t>1</w:t>
      </w:r>
      <w:r>
        <w:rPr>
          <w:rFonts w:hint="eastAsia" w:ascii="仿宋" w:hAnsi="仿宋" w:eastAsia="仿宋" w:cs="仿宋"/>
          <w:b/>
          <w:color w:val="auto"/>
          <w:sz w:val="24"/>
          <w:szCs w:val="24"/>
          <w:highlight w:val="none"/>
          <w:lang w:eastAsia="zh-CN"/>
        </w:rPr>
        <w:t>）</w:t>
      </w:r>
      <w:r>
        <w:rPr>
          <w:rFonts w:hint="eastAsia" w:ascii="仿宋" w:hAnsi="仿宋" w:eastAsia="仿宋" w:cs="仿宋"/>
          <w:b/>
          <w:color w:val="auto"/>
          <w:sz w:val="24"/>
          <w:szCs w:val="24"/>
          <w:highlight w:val="none"/>
        </w:rPr>
        <w:t>沥青材料</w:t>
      </w:r>
    </w:p>
    <w:p w14:paraId="568E101C">
      <w:pPr>
        <w:keepNext w:val="0"/>
        <w:keepLines w:val="0"/>
        <w:pageBreakBefore w:val="0"/>
        <w:kinsoku/>
        <w:wordWrap/>
        <w:overflowPunct/>
        <w:topLinePunct/>
        <w:bidi w:val="0"/>
        <w:snapToGrid/>
        <w:spacing w:line="360" w:lineRule="auto"/>
        <w:ind w:firstLine="570"/>
        <w:textAlignment w:val="auto"/>
        <w:rPr>
          <w:rFonts w:hint="eastAsia" w:ascii="宋体" w:hAnsi="宋体"/>
          <w:color w:val="auto"/>
          <w:sz w:val="28"/>
          <w:szCs w:val="28"/>
          <w:highlight w:val="none"/>
        </w:rPr>
      </w:pPr>
      <w:r>
        <w:rPr>
          <w:rFonts w:hint="eastAsia" w:ascii="宋体" w:hAnsi="宋体"/>
          <w:color w:val="auto"/>
          <w:sz w:val="28"/>
          <w:szCs w:val="28"/>
          <w:highlight w:val="none"/>
        </w:rPr>
        <w:t>应用于本项目道路路面铺装层的沥青混凝土的基质沥青应符合交通部《公路沥青路面施工技术规范》（JTG F40-2004）中重交AH-70#（下层沥青混凝土用）或AH-90#沥青（面层改性沥青所用基质沥青）的技术要求如表所示：</w:t>
      </w:r>
    </w:p>
    <w:p w14:paraId="0CA1CEBF">
      <w:pPr>
        <w:keepNext w:val="0"/>
        <w:keepLines w:val="0"/>
        <w:pageBreakBefore w:val="0"/>
        <w:kinsoku/>
        <w:wordWrap/>
        <w:overflowPunct/>
        <w:topLinePunct/>
        <w:bidi w:val="0"/>
        <w:snapToGrid/>
        <w:spacing w:line="360" w:lineRule="auto"/>
        <w:jc w:val="center"/>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rPr>
        <w:t>道路石油沥青技术要求</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58"/>
        <w:gridCol w:w="3718"/>
        <w:gridCol w:w="1512"/>
        <w:gridCol w:w="1512"/>
        <w:gridCol w:w="1606"/>
      </w:tblGrid>
      <w:tr w14:paraId="0E3A7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5076" w:type="dxa"/>
            <w:gridSpan w:val="2"/>
            <w:shd w:val="clear" w:color="auto" w:fill="C0C0C0"/>
            <w:noWrap w:val="0"/>
            <w:vAlign w:val="center"/>
          </w:tcPr>
          <w:p w14:paraId="0242EA87">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指标</w:t>
            </w:r>
          </w:p>
        </w:tc>
        <w:tc>
          <w:tcPr>
            <w:tcW w:w="1512" w:type="dxa"/>
            <w:shd w:val="clear" w:color="auto" w:fill="C0C0C0"/>
            <w:noWrap w:val="0"/>
            <w:vAlign w:val="center"/>
          </w:tcPr>
          <w:p w14:paraId="6D1F82C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70号</w:t>
            </w:r>
          </w:p>
        </w:tc>
        <w:tc>
          <w:tcPr>
            <w:tcW w:w="1512" w:type="dxa"/>
            <w:shd w:val="clear" w:color="auto" w:fill="C0C0C0"/>
            <w:noWrap w:val="0"/>
            <w:vAlign w:val="center"/>
          </w:tcPr>
          <w:p w14:paraId="3FED626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90号</w:t>
            </w:r>
          </w:p>
        </w:tc>
        <w:tc>
          <w:tcPr>
            <w:tcW w:w="1606" w:type="dxa"/>
            <w:shd w:val="clear" w:color="auto" w:fill="C0C0C0"/>
            <w:noWrap w:val="0"/>
            <w:vAlign w:val="center"/>
          </w:tcPr>
          <w:p w14:paraId="461435E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试验方法</w:t>
            </w:r>
          </w:p>
        </w:tc>
      </w:tr>
      <w:tr w14:paraId="45589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9" w:hRule="atLeast"/>
          <w:jc w:val="center"/>
        </w:trPr>
        <w:tc>
          <w:tcPr>
            <w:tcW w:w="5076" w:type="dxa"/>
            <w:gridSpan w:val="2"/>
            <w:shd w:val="clear" w:color="auto" w:fill="C0C0C0"/>
            <w:noWrap w:val="0"/>
            <w:vAlign w:val="center"/>
          </w:tcPr>
          <w:p w14:paraId="6705C77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针入度（25℃，5s，100g） dmm</w:t>
            </w:r>
          </w:p>
        </w:tc>
        <w:tc>
          <w:tcPr>
            <w:tcW w:w="1512" w:type="dxa"/>
            <w:noWrap w:val="0"/>
            <w:vAlign w:val="center"/>
          </w:tcPr>
          <w:p w14:paraId="5E1EB366">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60～80</w:t>
            </w:r>
          </w:p>
        </w:tc>
        <w:tc>
          <w:tcPr>
            <w:tcW w:w="1512" w:type="dxa"/>
            <w:noWrap w:val="0"/>
            <w:vAlign w:val="center"/>
          </w:tcPr>
          <w:p w14:paraId="7A0A3C1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80～100</w:t>
            </w:r>
          </w:p>
        </w:tc>
        <w:tc>
          <w:tcPr>
            <w:tcW w:w="1606" w:type="dxa"/>
            <w:noWrap w:val="0"/>
            <w:vAlign w:val="center"/>
          </w:tcPr>
          <w:p w14:paraId="4434AA85">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0604</w:t>
            </w:r>
          </w:p>
        </w:tc>
      </w:tr>
      <w:tr w14:paraId="47C26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7" w:hRule="atLeast"/>
          <w:jc w:val="center"/>
        </w:trPr>
        <w:tc>
          <w:tcPr>
            <w:tcW w:w="5076" w:type="dxa"/>
            <w:gridSpan w:val="2"/>
            <w:shd w:val="clear" w:color="auto" w:fill="C0C0C0"/>
            <w:noWrap w:val="0"/>
            <w:vAlign w:val="center"/>
          </w:tcPr>
          <w:p w14:paraId="1518EFB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针入度指数PI</w:t>
            </w:r>
          </w:p>
        </w:tc>
        <w:tc>
          <w:tcPr>
            <w:tcW w:w="1512" w:type="dxa"/>
            <w:noWrap w:val="0"/>
            <w:vAlign w:val="center"/>
          </w:tcPr>
          <w:p w14:paraId="425BD57B">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-1.5～+1.0</w:t>
            </w:r>
          </w:p>
        </w:tc>
        <w:tc>
          <w:tcPr>
            <w:tcW w:w="1512" w:type="dxa"/>
            <w:noWrap w:val="0"/>
            <w:vAlign w:val="center"/>
          </w:tcPr>
          <w:p w14:paraId="73C7B435">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-1.5～+1.0</w:t>
            </w:r>
          </w:p>
        </w:tc>
        <w:tc>
          <w:tcPr>
            <w:tcW w:w="1606" w:type="dxa"/>
            <w:noWrap w:val="0"/>
            <w:vAlign w:val="center"/>
          </w:tcPr>
          <w:p w14:paraId="5635F41B">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0604</w:t>
            </w:r>
          </w:p>
        </w:tc>
      </w:tr>
      <w:tr w14:paraId="479D5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7" w:hRule="atLeast"/>
          <w:jc w:val="center"/>
        </w:trPr>
        <w:tc>
          <w:tcPr>
            <w:tcW w:w="5076" w:type="dxa"/>
            <w:gridSpan w:val="2"/>
            <w:shd w:val="clear" w:color="auto" w:fill="C0C0C0"/>
            <w:noWrap w:val="0"/>
            <w:vAlign w:val="center"/>
          </w:tcPr>
          <w:p w14:paraId="65864FA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软化点（R&amp;B） ℃ 不小于</w:t>
            </w:r>
          </w:p>
        </w:tc>
        <w:tc>
          <w:tcPr>
            <w:tcW w:w="1512" w:type="dxa"/>
            <w:noWrap w:val="0"/>
            <w:vAlign w:val="center"/>
          </w:tcPr>
          <w:p w14:paraId="06022AD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45～46</w:t>
            </w:r>
          </w:p>
        </w:tc>
        <w:tc>
          <w:tcPr>
            <w:tcW w:w="1512" w:type="dxa"/>
            <w:noWrap w:val="0"/>
            <w:vAlign w:val="center"/>
          </w:tcPr>
          <w:p w14:paraId="25614AF0">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44～45</w:t>
            </w:r>
          </w:p>
        </w:tc>
        <w:tc>
          <w:tcPr>
            <w:tcW w:w="1606" w:type="dxa"/>
            <w:noWrap w:val="0"/>
            <w:vAlign w:val="center"/>
          </w:tcPr>
          <w:p w14:paraId="6FE4B616">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0606</w:t>
            </w:r>
          </w:p>
        </w:tc>
      </w:tr>
      <w:tr w14:paraId="29388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7" w:hRule="atLeast"/>
          <w:jc w:val="center"/>
        </w:trPr>
        <w:tc>
          <w:tcPr>
            <w:tcW w:w="5076" w:type="dxa"/>
            <w:gridSpan w:val="2"/>
            <w:shd w:val="clear" w:color="auto" w:fill="C0C0C0"/>
            <w:noWrap w:val="0"/>
            <w:vAlign w:val="center"/>
          </w:tcPr>
          <w:p w14:paraId="7001213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60℃动力粘度 Pa.s 不大于</w:t>
            </w:r>
          </w:p>
        </w:tc>
        <w:tc>
          <w:tcPr>
            <w:tcW w:w="1512" w:type="dxa"/>
            <w:noWrap w:val="0"/>
            <w:vAlign w:val="center"/>
          </w:tcPr>
          <w:p w14:paraId="421DA316">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160</w:t>
            </w:r>
          </w:p>
        </w:tc>
        <w:tc>
          <w:tcPr>
            <w:tcW w:w="1512" w:type="dxa"/>
            <w:noWrap w:val="0"/>
            <w:vAlign w:val="center"/>
          </w:tcPr>
          <w:p w14:paraId="2EB8269E">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140</w:t>
            </w:r>
          </w:p>
        </w:tc>
        <w:tc>
          <w:tcPr>
            <w:tcW w:w="1606" w:type="dxa"/>
            <w:noWrap w:val="0"/>
            <w:vAlign w:val="center"/>
          </w:tcPr>
          <w:p w14:paraId="56CE344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0620</w:t>
            </w:r>
          </w:p>
        </w:tc>
      </w:tr>
      <w:tr w14:paraId="4FB59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7" w:hRule="atLeast"/>
          <w:jc w:val="center"/>
        </w:trPr>
        <w:tc>
          <w:tcPr>
            <w:tcW w:w="5076" w:type="dxa"/>
            <w:gridSpan w:val="2"/>
            <w:shd w:val="clear" w:color="auto" w:fill="C0C0C0"/>
            <w:noWrap w:val="0"/>
            <w:vAlign w:val="center"/>
          </w:tcPr>
          <w:p w14:paraId="2D682431">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10℃延度 cm 不小于</w:t>
            </w:r>
          </w:p>
        </w:tc>
        <w:tc>
          <w:tcPr>
            <w:tcW w:w="1512" w:type="dxa"/>
            <w:noWrap w:val="0"/>
            <w:vAlign w:val="center"/>
          </w:tcPr>
          <w:p w14:paraId="6A2F1F85">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15</w:t>
            </w:r>
          </w:p>
        </w:tc>
        <w:tc>
          <w:tcPr>
            <w:tcW w:w="1512" w:type="dxa"/>
            <w:noWrap w:val="0"/>
            <w:vAlign w:val="center"/>
          </w:tcPr>
          <w:p w14:paraId="4EEDC97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20</w:t>
            </w:r>
          </w:p>
        </w:tc>
        <w:tc>
          <w:tcPr>
            <w:tcW w:w="1606" w:type="dxa"/>
            <w:noWrap w:val="0"/>
            <w:vAlign w:val="center"/>
          </w:tcPr>
          <w:p w14:paraId="493C668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0605</w:t>
            </w:r>
          </w:p>
        </w:tc>
      </w:tr>
      <w:tr w14:paraId="6914A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7" w:hRule="atLeast"/>
          <w:jc w:val="center"/>
        </w:trPr>
        <w:tc>
          <w:tcPr>
            <w:tcW w:w="5076" w:type="dxa"/>
            <w:gridSpan w:val="2"/>
            <w:shd w:val="clear" w:color="auto" w:fill="C0C0C0"/>
            <w:noWrap w:val="0"/>
            <w:vAlign w:val="center"/>
          </w:tcPr>
          <w:p w14:paraId="0A25A28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15℃延度 cm 不小于</w:t>
            </w:r>
          </w:p>
        </w:tc>
        <w:tc>
          <w:tcPr>
            <w:tcW w:w="1512" w:type="dxa"/>
            <w:noWrap w:val="0"/>
            <w:vAlign w:val="center"/>
          </w:tcPr>
          <w:p w14:paraId="309A4064">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100</w:t>
            </w:r>
          </w:p>
        </w:tc>
        <w:tc>
          <w:tcPr>
            <w:tcW w:w="1512" w:type="dxa"/>
            <w:noWrap w:val="0"/>
            <w:vAlign w:val="center"/>
          </w:tcPr>
          <w:p w14:paraId="7B7A419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100</w:t>
            </w:r>
          </w:p>
        </w:tc>
        <w:tc>
          <w:tcPr>
            <w:tcW w:w="1606" w:type="dxa"/>
            <w:noWrap w:val="0"/>
            <w:vAlign w:val="center"/>
          </w:tcPr>
          <w:p w14:paraId="67DBFA8B">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0605</w:t>
            </w:r>
          </w:p>
        </w:tc>
      </w:tr>
      <w:tr w14:paraId="5881E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8" w:hRule="atLeast"/>
          <w:jc w:val="center"/>
        </w:trPr>
        <w:tc>
          <w:tcPr>
            <w:tcW w:w="5076" w:type="dxa"/>
            <w:gridSpan w:val="2"/>
            <w:shd w:val="clear" w:color="auto" w:fill="C0C0C0"/>
            <w:noWrap w:val="0"/>
            <w:vAlign w:val="center"/>
          </w:tcPr>
          <w:p w14:paraId="240AC03B">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含蜡量（蒸馏法） % 不大于</w:t>
            </w:r>
          </w:p>
        </w:tc>
        <w:tc>
          <w:tcPr>
            <w:tcW w:w="1512" w:type="dxa"/>
            <w:noWrap w:val="0"/>
            <w:vAlign w:val="center"/>
          </w:tcPr>
          <w:p w14:paraId="1EA2FF8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2.2</w:t>
            </w:r>
          </w:p>
        </w:tc>
        <w:tc>
          <w:tcPr>
            <w:tcW w:w="1512" w:type="dxa"/>
            <w:noWrap w:val="0"/>
            <w:vAlign w:val="center"/>
          </w:tcPr>
          <w:p w14:paraId="5347AF1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2.2</w:t>
            </w:r>
          </w:p>
        </w:tc>
        <w:tc>
          <w:tcPr>
            <w:tcW w:w="1606" w:type="dxa"/>
            <w:noWrap w:val="0"/>
            <w:vAlign w:val="center"/>
          </w:tcPr>
          <w:p w14:paraId="5EAE52F0">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0615</w:t>
            </w:r>
          </w:p>
        </w:tc>
      </w:tr>
      <w:tr w14:paraId="1C0F3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6" w:hRule="atLeast"/>
          <w:jc w:val="center"/>
        </w:trPr>
        <w:tc>
          <w:tcPr>
            <w:tcW w:w="5076" w:type="dxa"/>
            <w:gridSpan w:val="2"/>
            <w:shd w:val="clear" w:color="auto" w:fill="C0C0C0"/>
            <w:noWrap w:val="0"/>
            <w:vAlign w:val="center"/>
          </w:tcPr>
          <w:p w14:paraId="1D3A7B7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闪点 ℃ 不小于</w:t>
            </w:r>
          </w:p>
        </w:tc>
        <w:tc>
          <w:tcPr>
            <w:tcW w:w="1512" w:type="dxa"/>
            <w:noWrap w:val="0"/>
            <w:vAlign w:val="center"/>
          </w:tcPr>
          <w:p w14:paraId="758650A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260</w:t>
            </w:r>
          </w:p>
        </w:tc>
        <w:tc>
          <w:tcPr>
            <w:tcW w:w="1512" w:type="dxa"/>
            <w:noWrap w:val="0"/>
            <w:vAlign w:val="center"/>
          </w:tcPr>
          <w:p w14:paraId="0C70CF6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245</w:t>
            </w:r>
          </w:p>
        </w:tc>
        <w:tc>
          <w:tcPr>
            <w:tcW w:w="1606" w:type="dxa"/>
            <w:noWrap w:val="0"/>
            <w:vAlign w:val="center"/>
          </w:tcPr>
          <w:p w14:paraId="69658767">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 xml:space="preserve">T 0611 </w:t>
            </w:r>
          </w:p>
        </w:tc>
      </w:tr>
      <w:tr w14:paraId="40186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7" w:hRule="atLeast"/>
          <w:jc w:val="center"/>
        </w:trPr>
        <w:tc>
          <w:tcPr>
            <w:tcW w:w="5076" w:type="dxa"/>
            <w:gridSpan w:val="2"/>
            <w:shd w:val="clear" w:color="auto" w:fill="C0C0C0"/>
            <w:noWrap w:val="0"/>
            <w:vAlign w:val="center"/>
          </w:tcPr>
          <w:p w14:paraId="01542D20">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溶解度 % 不小于</w:t>
            </w:r>
          </w:p>
        </w:tc>
        <w:tc>
          <w:tcPr>
            <w:tcW w:w="1512" w:type="dxa"/>
            <w:noWrap w:val="0"/>
            <w:vAlign w:val="center"/>
          </w:tcPr>
          <w:p w14:paraId="28A7D28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99.5</w:t>
            </w:r>
          </w:p>
        </w:tc>
        <w:tc>
          <w:tcPr>
            <w:tcW w:w="1512" w:type="dxa"/>
            <w:noWrap w:val="0"/>
            <w:vAlign w:val="center"/>
          </w:tcPr>
          <w:p w14:paraId="2580E57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99.5</w:t>
            </w:r>
          </w:p>
        </w:tc>
        <w:tc>
          <w:tcPr>
            <w:tcW w:w="1606" w:type="dxa"/>
            <w:noWrap w:val="0"/>
            <w:vAlign w:val="center"/>
          </w:tcPr>
          <w:p w14:paraId="3429E15E">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 xml:space="preserve">T 0607 </w:t>
            </w:r>
          </w:p>
        </w:tc>
      </w:tr>
      <w:tr w14:paraId="38C04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5" w:hRule="atLeast"/>
          <w:jc w:val="center"/>
        </w:trPr>
        <w:tc>
          <w:tcPr>
            <w:tcW w:w="5076" w:type="dxa"/>
            <w:gridSpan w:val="2"/>
            <w:tcBorders>
              <w:bottom w:val="single" w:color="auto" w:sz="4" w:space="0"/>
            </w:tcBorders>
            <w:shd w:val="clear" w:color="auto" w:fill="C0C0C0"/>
            <w:noWrap w:val="0"/>
            <w:vAlign w:val="center"/>
          </w:tcPr>
          <w:p w14:paraId="761FA5C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密度（15℃） g/cm</w:t>
            </w:r>
            <w:r>
              <w:rPr>
                <w:rFonts w:hint="eastAsia" w:ascii="仿宋" w:hAnsi="仿宋" w:eastAsia="仿宋" w:cs="仿宋"/>
                <w:color w:val="auto"/>
                <w:sz w:val="24"/>
                <w:szCs w:val="24"/>
                <w:highlight w:val="none"/>
                <w:vertAlign w:val="superscript"/>
              </w:rPr>
              <w:t>3</w:t>
            </w:r>
          </w:p>
        </w:tc>
        <w:tc>
          <w:tcPr>
            <w:tcW w:w="1512" w:type="dxa"/>
            <w:noWrap w:val="0"/>
            <w:vAlign w:val="center"/>
          </w:tcPr>
          <w:p w14:paraId="0FCE69F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实测记录</w:t>
            </w:r>
          </w:p>
        </w:tc>
        <w:tc>
          <w:tcPr>
            <w:tcW w:w="1512" w:type="dxa"/>
            <w:noWrap w:val="0"/>
            <w:vAlign w:val="center"/>
          </w:tcPr>
          <w:p w14:paraId="6C5D7B2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实测记录</w:t>
            </w:r>
          </w:p>
        </w:tc>
        <w:tc>
          <w:tcPr>
            <w:tcW w:w="1606" w:type="dxa"/>
            <w:noWrap w:val="0"/>
            <w:vAlign w:val="center"/>
          </w:tcPr>
          <w:p w14:paraId="4EEEAE3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 xml:space="preserve">T 0603 </w:t>
            </w:r>
          </w:p>
        </w:tc>
      </w:tr>
      <w:tr w14:paraId="1CCBBA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9" w:hRule="atLeast"/>
          <w:jc w:val="center"/>
        </w:trPr>
        <w:tc>
          <w:tcPr>
            <w:tcW w:w="1358" w:type="dxa"/>
            <w:vMerge w:val="restart"/>
            <w:shd w:val="clear" w:color="auto" w:fill="C0C0C0"/>
            <w:noWrap w:val="0"/>
            <w:vAlign w:val="center"/>
          </w:tcPr>
          <w:p w14:paraId="530BF7C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TFOT（或</w:t>
            </w:r>
          </w:p>
          <w:p w14:paraId="681066F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RTFOT）后</w:t>
            </w:r>
          </w:p>
        </w:tc>
        <w:tc>
          <w:tcPr>
            <w:tcW w:w="3718" w:type="dxa"/>
            <w:shd w:val="clear" w:color="auto" w:fill="C0C0C0"/>
            <w:noWrap w:val="0"/>
            <w:vAlign w:val="center"/>
          </w:tcPr>
          <w:p w14:paraId="5C920DF0">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质量变化 % 不大于</w:t>
            </w:r>
          </w:p>
        </w:tc>
        <w:tc>
          <w:tcPr>
            <w:tcW w:w="1512" w:type="dxa"/>
            <w:noWrap w:val="0"/>
            <w:vAlign w:val="center"/>
          </w:tcPr>
          <w:p w14:paraId="62C8613E">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±0.8</w:t>
            </w:r>
          </w:p>
        </w:tc>
        <w:tc>
          <w:tcPr>
            <w:tcW w:w="1512" w:type="dxa"/>
            <w:noWrap w:val="0"/>
            <w:vAlign w:val="center"/>
          </w:tcPr>
          <w:p w14:paraId="2809F32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±0.8</w:t>
            </w:r>
          </w:p>
        </w:tc>
        <w:tc>
          <w:tcPr>
            <w:tcW w:w="1606" w:type="dxa"/>
            <w:noWrap w:val="0"/>
            <w:vAlign w:val="center"/>
          </w:tcPr>
          <w:p w14:paraId="07676E0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0604</w:t>
            </w:r>
          </w:p>
        </w:tc>
      </w:tr>
      <w:tr w14:paraId="61669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7" w:hRule="atLeast"/>
          <w:jc w:val="center"/>
        </w:trPr>
        <w:tc>
          <w:tcPr>
            <w:tcW w:w="1358" w:type="dxa"/>
            <w:vMerge w:val="continue"/>
            <w:shd w:val="clear" w:color="auto" w:fill="C0C0C0"/>
            <w:noWrap w:val="0"/>
            <w:vAlign w:val="center"/>
          </w:tcPr>
          <w:p w14:paraId="36C79A75">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c>
          <w:tcPr>
            <w:tcW w:w="3718" w:type="dxa"/>
            <w:shd w:val="clear" w:color="auto" w:fill="C0C0C0"/>
            <w:noWrap w:val="0"/>
            <w:vAlign w:val="center"/>
          </w:tcPr>
          <w:p w14:paraId="40CD0A7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残留针入度比 % 不小于</w:t>
            </w:r>
          </w:p>
        </w:tc>
        <w:tc>
          <w:tcPr>
            <w:tcW w:w="1512" w:type="dxa"/>
            <w:noWrap w:val="0"/>
            <w:vAlign w:val="center"/>
          </w:tcPr>
          <w:p w14:paraId="16CE54D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61</w:t>
            </w:r>
          </w:p>
        </w:tc>
        <w:tc>
          <w:tcPr>
            <w:tcW w:w="1512" w:type="dxa"/>
            <w:noWrap w:val="0"/>
            <w:vAlign w:val="center"/>
          </w:tcPr>
          <w:p w14:paraId="59A05751">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57</w:t>
            </w:r>
          </w:p>
        </w:tc>
        <w:tc>
          <w:tcPr>
            <w:tcW w:w="1606" w:type="dxa"/>
            <w:noWrap w:val="0"/>
            <w:vAlign w:val="center"/>
          </w:tcPr>
          <w:p w14:paraId="5ECBADE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0605</w:t>
            </w:r>
          </w:p>
        </w:tc>
      </w:tr>
      <w:tr w14:paraId="37FA1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7" w:hRule="atLeast"/>
          <w:jc w:val="center"/>
        </w:trPr>
        <w:tc>
          <w:tcPr>
            <w:tcW w:w="1358" w:type="dxa"/>
            <w:vMerge w:val="continue"/>
            <w:shd w:val="clear" w:color="auto" w:fill="C0C0C0"/>
            <w:noWrap w:val="0"/>
            <w:vAlign w:val="center"/>
          </w:tcPr>
          <w:p w14:paraId="4A62568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c>
          <w:tcPr>
            <w:tcW w:w="3718" w:type="dxa"/>
            <w:shd w:val="clear" w:color="auto" w:fill="C0C0C0"/>
            <w:noWrap w:val="0"/>
            <w:vAlign w:val="center"/>
          </w:tcPr>
          <w:p w14:paraId="67655AD1">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残留延度（10℃） cm 不小于</w:t>
            </w:r>
          </w:p>
        </w:tc>
        <w:tc>
          <w:tcPr>
            <w:tcW w:w="1512" w:type="dxa"/>
            <w:noWrap w:val="0"/>
            <w:vAlign w:val="center"/>
          </w:tcPr>
          <w:p w14:paraId="1BC31244">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6</w:t>
            </w:r>
          </w:p>
        </w:tc>
        <w:tc>
          <w:tcPr>
            <w:tcW w:w="1512" w:type="dxa"/>
            <w:noWrap w:val="0"/>
            <w:vAlign w:val="center"/>
          </w:tcPr>
          <w:p w14:paraId="487227D1">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8</w:t>
            </w:r>
          </w:p>
        </w:tc>
        <w:tc>
          <w:tcPr>
            <w:tcW w:w="1606" w:type="dxa"/>
            <w:noWrap w:val="0"/>
            <w:vAlign w:val="center"/>
          </w:tcPr>
          <w:p w14:paraId="576FE856">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0605</w:t>
            </w:r>
          </w:p>
        </w:tc>
      </w:tr>
    </w:tbl>
    <w:p w14:paraId="499ED084">
      <w:pPr>
        <w:keepNext w:val="0"/>
        <w:keepLines w:val="0"/>
        <w:pageBreakBefore w:val="0"/>
        <w:kinsoku/>
        <w:wordWrap/>
        <w:overflowPunct/>
        <w:topLinePunct/>
        <w:bidi w:val="0"/>
        <w:snapToGrid/>
        <w:spacing w:line="36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改性沥青可单独或复合采用高分子聚合物、天然沥青及其他改性材料制作。各类聚合物改性沥青的质量应符合下表的技术要求，当使用表列以外的聚合物及复合改性沥青时，可通过试验研究制订相应的技术要求。</w:t>
      </w:r>
    </w:p>
    <w:p w14:paraId="11733B99">
      <w:pPr>
        <w:keepNext w:val="0"/>
        <w:keepLines w:val="0"/>
        <w:pageBreakBefore w:val="0"/>
        <w:kinsoku/>
        <w:wordWrap/>
        <w:overflowPunct/>
        <w:topLinePunct/>
        <w:bidi w:val="0"/>
        <w:snapToGrid/>
        <w:spacing w:line="360" w:lineRule="auto"/>
        <w:jc w:val="center"/>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rPr>
        <w:t>聚合物改性沥青技术要求</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2"/>
        <w:gridCol w:w="2288"/>
        <w:gridCol w:w="1202"/>
        <w:gridCol w:w="1174"/>
        <w:gridCol w:w="1944"/>
        <w:gridCol w:w="1606"/>
      </w:tblGrid>
      <w:tr w14:paraId="3A4B9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780" w:type="dxa"/>
            <w:gridSpan w:val="2"/>
            <w:shd w:val="clear" w:color="auto" w:fill="C0C0C0"/>
            <w:noWrap w:val="0"/>
            <w:vAlign w:val="center"/>
          </w:tcPr>
          <w:p w14:paraId="656DE25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指标</w:t>
            </w:r>
          </w:p>
        </w:tc>
        <w:tc>
          <w:tcPr>
            <w:tcW w:w="1202" w:type="dxa"/>
            <w:shd w:val="clear" w:color="auto" w:fill="C0C0C0"/>
            <w:noWrap w:val="0"/>
            <w:vAlign w:val="center"/>
          </w:tcPr>
          <w:p w14:paraId="35845C5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SBS类</w:t>
            </w:r>
          </w:p>
        </w:tc>
        <w:tc>
          <w:tcPr>
            <w:tcW w:w="1174" w:type="dxa"/>
            <w:shd w:val="clear" w:color="auto" w:fill="C0C0C0"/>
            <w:noWrap w:val="0"/>
            <w:vAlign w:val="center"/>
          </w:tcPr>
          <w:p w14:paraId="1D136331">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SBR类</w:t>
            </w:r>
          </w:p>
        </w:tc>
        <w:tc>
          <w:tcPr>
            <w:tcW w:w="1944" w:type="dxa"/>
            <w:shd w:val="clear" w:color="auto" w:fill="C0C0C0"/>
            <w:noWrap w:val="0"/>
            <w:vAlign w:val="center"/>
          </w:tcPr>
          <w:p w14:paraId="77896FE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EVA、PE类</w:t>
            </w:r>
          </w:p>
        </w:tc>
        <w:tc>
          <w:tcPr>
            <w:tcW w:w="1606" w:type="dxa"/>
            <w:shd w:val="clear" w:color="auto" w:fill="C0C0C0"/>
            <w:noWrap w:val="0"/>
            <w:vAlign w:val="center"/>
          </w:tcPr>
          <w:p w14:paraId="0BEDBA55">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试验方法</w:t>
            </w:r>
          </w:p>
        </w:tc>
      </w:tr>
      <w:tr w14:paraId="1E26F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9" w:hRule="atLeast"/>
          <w:jc w:val="center"/>
        </w:trPr>
        <w:tc>
          <w:tcPr>
            <w:tcW w:w="3780" w:type="dxa"/>
            <w:gridSpan w:val="2"/>
            <w:shd w:val="clear" w:color="auto" w:fill="C0C0C0"/>
            <w:noWrap w:val="0"/>
            <w:vAlign w:val="center"/>
          </w:tcPr>
          <w:p w14:paraId="3A3C1E3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针入度（25℃，5s，100g） dmm</w:t>
            </w:r>
          </w:p>
        </w:tc>
        <w:tc>
          <w:tcPr>
            <w:tcW w:w="1202" w:type="dxa"/>
            <w:noWrap w:val="0"/>
            <w:vAlign w:val="center"/>
          </w:tcPr>
          <w:p w14:paraId="5F8A8C81">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&gt;100</w:t>
            </w:r>
          </w:p>
        </w:tc>
        <w:tc>
          <w:tcPr>
            <w:tcW w:w="1174" w:type="dxa"/>
            <w:noWrap w:val="0"/>
            <w:vAlign w:val="center"/>
          </w:tcPr>
          <w:p w14:paraId="2BF0957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&gt;100</w:t>
            </w:r>
          </w:p>
        </w:tc>
        <w:tc>
          <w:tcPr>
            <w:tcW w:w="1944" w:type="dxa"/>
            <w:noWrap w:val="0"/>
            <w:vAlign w:val="center"/>
          </w:tcPr>
          <w:p w14:paraId="4A397E96">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&gt;80</w:t>
            </w:r>
          </w:p>
        </w:tc>
        <w:tc>
          <w:tcPr>
            <w:tcW w:w="1606" w:type="dxa"/>
            <w:noWrap w:val="0"/>
            <w:vAlign w:val="center"/>
          </w:tcPr>
          <w:p w14:paraId="782A89D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0604</w:t>
            </w:r>
          </w:p>
        </w:tc>
      </w:tr>
      <w:tr w14:paraId="25B14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7" w:hRule="atLeast"/>
          <w:jc w:val="center"/>
        </w:trPr>
        <w:tc>
          <w:tcPr>
            <w:tcW w:w="3780" w:type="dxa"/>
            <w:gridSpan w:val="2"/>
            <w:shd w:val="clear" w:color="auto" w:fill="C0C0C0"/>
            <w:noWrap w:val="0"/>
            <w:vAlign w:val="center"/>
          </w:tcPr>
          <w:p w14:paraId="41A998B7">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针入度指数PI 不小于</w:t>
            </w:r>
          </w:p>
        </w:tc>
        <w:tc>
          <w:tcPr>
            <w:tcW w:w="1202" w:type="dxa"/>
            <w:noWrap w:val="0"/>
            <w:vAlign w:val="center"/>
          </w:tcPr>
          <w:p w14:paraId="56120BB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-1.2</w:t>
            </w:r>
          </w:p>
        </w:tc>
        <w:tc>
          <w:tcPr>
            <w:tcW w:w="1174" w:type="dxa"/>
            <w:noWrap w:val="0"/>
            <w:vAlign w:val="center"/>
          </w:tcPr>
          <w:p w14:paraId="7F664DBE">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-1.0</w:t>
            </w:r>
          </w:p>
        </w:tc>
        <w:tc>
          <w:tcPr>
            <w:tcW w:w="1944" w:type="dxa"/>
            <w:noWrap w:val="0"/>
            <w:vAlign w:val="center"/>
          </w:tcPr>
          <w:p w14:paraId="33D9914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-1.0</w:t>
            </w:r>
          </w:p>
        </w:tc>
        <w:tc>
          <w:tcPr>
            <w:tcW w:w="1606" w:type="dxa"/>
            <w:noWrap w:val="0"/>
            <w:vAlign w:val="center"/>
          </w:tcPr>
          <w:p w14:paraId="20657A2E">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0604</w:t>
            </w:r>
          </w:p>
        </w:tc>
      </w:tr>
      <w:tr w14:paraId="6258A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7" w:hRule="atLeast"/>
          <w:jc w:val="center"/>
        </w:trPr>
        <w:tc>
          <w:tcPr>
            <w:tcW w:w="3780" w:type="dxa"/>
            <w:gridSpan w:val="2"/>
            <w:shd w:val="clear" w:color="auto" w:fill="C0C0C0"/>
            <w:noWrap w:val="0"/>
            <w:vAlign w:val="center"/>
          </w:tcPr>
          <w:p w14:paraId="06146BEE">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 xml:space="preserve">延度（5℃，5cm/min）cm </w:t>
            </w:r>
          </w:p>
          <w:p w14:paraId="5125E49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不小于</w:t>
            </w:r>
          </w:p>
        </w:tc>
        <w:tc>
          <w:tcPr>
            <w:tcW w:w="1202" w:type="dxa"/>
            <w:noWrap w:val="0"/>
            <w:vAlign w:val="center"/>
          </w:tcPr>
          <w:p w14:paraId="3E19010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50</w:t>
            </w:r>
          </w:p>
        </w:tc>
        <w:tc>
          <w:tcPr>
            <w:tcW w:w="1174" w:type="dxa"/>
            <w:noWrap w:val="0"/>
            <w:vAlign w:val="center"/>
          </w:tcPr>
          <w:p w14:paraId="48279E9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60</w:t>
            </w:r>
          </w:p>
        </w:tc>
        <w:tc>
          <w:tcPr>
            <w:tcW w:w="1944" w:type="dxa"/>
            <w:noWrap w:val="0"/>
            <w:vAlign w:val="center"/>
          </w:tcPr>
          <w:p w14:paraId="79AF46C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w:t>
            </w:r>
          </w:p>
        </w:tc>
        <w:tc>
          <w:tcPr>
            <w:tcW w:w="1606" w:type="dxa"/>
            <w:noWrap w:val="0"/>
            <w:vAlign w:val="center"/>
          </w:tcPr>
          <w:p w14:paraId="3A1268E4">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0605</w:t>
            </w:r>
          </w:p>
        </w:tc>
      </w:tr>
      <w:tr w14:paraId="41450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7" w:hRule="atLeast"/>
          <w:jc w:val="center"/>
        </w:trPr>
        <w:tc>
          <w:tcPr>
            <w:tcW w:w="3780" w:type="dxa"/>
            <w:gridSpan w:val="2"/>
            <w:shd w:val="clear" w:color="auto" w:fill="C0C0C0"/>
            <w:noWrap w:val="0"/>
            <w:vAlign w:val="center"/>
          </w:tcPr>
          <w:p w14:paraId="3C1D4B0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软化点TR&amp;B ℃ 不小于</w:t>
            </w:r>
          </w:p>
        </w:tc>
        <w:tc>
          <w:tcPr>
            <w:tcW w:w="1202" w:type="dxa"/>
            <w:noWrap w:val="0"/>
            <w:vAlign w:val="center"/>
          </w:tcPr>
          <w:p w14:paraId="75DEEEF4">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45</w:t>
            </w:r>
          </w:p>
        </w:tc>
        <w:tc>
          <w:tcPr>
            <w:tcW w:w="1174" w:type="dxa"/>
            <w:noWrap w:val="0"/>
            <w:vAlign w:val="center"/>
          </w:tcPr>
          <w:p w14:paraId="38B8CAB7">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45</w:t>
            </w:r>
          </w:p>
        </w:tc>
        <w:tc>
          <w:tcPr>
            <w:tcW w:w="1944" w:type="dxa"/>
            <w:noWrap w:val="0"/>
            <w:vAlign w:val="center"/>
          </w:tcPr>
          <w:p w14:paraId="153CF53B">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48</w:t>
            </w:r>
          </w:p>
        </w:tc>
        <w:tc>
          <w:tcPr>
            <w:tcW w:w="1606" w:type="dxa"/>
            <w:noWrap w:val="0"/>
            <w:vAlign w:val="center"/>
          </w:tcPr>
          <w:p w14:paraId="1083ACD7">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0606</w:t>
            </w:r>
          </w:p>
        </w:tc>
      </w:tr>
      <w:tr w14:paraId="03F2A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7" w:hRule="atLeast"/>
          <w:jc w:val="center"/>
        </w:trPr>
        <w:tc>
          <w:tcPr>
            <w:tcW w:w="3780" w:type="dxa"/>
            <w:gridSpan w:val="2"/>
            <w:shd w:val="clear" w:color="auto" w:fill="C0C0C0"/>
            <w:noWrap w:val="0"/>
            <w:vAlign w:val="center"/>
          </w:tcPr>
          <w:p w14:paraId="06876DF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 xml:space="preserve">运动粘度（135℃） Pa.s </w:t>
            </w:r>
          </w:p>
          <w:p w14:paraId="6090130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不大于</w:t>
            </w:r>
          </w:p>
        </w:tc>
        <w:tc>
          <w:tcPr>
            <w:tcW w:w="1202" w:type="dxa"/>
            <w:noWrap w:val="0"/>
            <w:vAlign w:val="center"/>
          </w:tcPr>
          <w:p w14:paraId="408FEB44">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3</w:t>
            </w:r>
          </w:p>
        </w:tc>
        <w:tc>
          <w:tcPr>
            <w:tcW w:w="1174" w:type="dxa"/>
            <w:noWrap w:val="0"/>
            <w:vAlign w:val="center"/>
          </w:tcPr>
          <w:p w14:paraId="17DFB0B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3</w:t>
            </w:r>
          </w:p>
        </w:tc>
        <w:tc>
          <w:tcPr>
            <w:tcW w:w="1944" w:type="dxa"/>
            <w:noWrap w:val="0"/>
            <w:vAlign w:val="center"/>
          </w:tcPr>
          <w:p w14:paraId="2F5F3465">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3</w:t>
            </w:r>
          </w:p>
        </w:tc>
        <w:tc>
          <w:tcPr>
            <w:tcW w:w="1606" w:type="dxa"/>
            <w:noWrap w:val="0"/>
            <w:vAlign w:val="center"/>
          </w:tcPr>
          <w:p w14:paraId="2635B170">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 xml:space="preserve">T 0625 </w:t>
            </w:r>
          </w:p>
          <w:p w14:paraId="6AB86A6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0619</w:t>
            </w:r>
          </w:p>
        </w:tc>
      </w:tr>
      <w:tr w14:paraId="79FAF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7" w:hRule="atLeast"/>
          <w:jc w:val="center"/>
        </w:trPr>
        <w:tc>
          <w:tcPr>
            <w:tcW w:w="3780" w:type="dxa"/>
            <w:gridSpan w:val="2"/>
            <w:shd w:val="clear" w:color="auto" w:fill="C0C0C0"/>
            <w:noWrap w:val="0"/>
            <w:vAlign w:val="center"/>
          </w:tcPr>
          <w:p w14:paraId="3731C38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闪点 ℃ 不小于</w:t>
            </w:r>
          </w:p>
        </w:tc>
        <w:tc>
          <w:tcPr>
            <w:tcW w:w="1202" w:type="dxa"/>
            <w:noWrap w:val="0"/>
            <w:vAlign w:val="center"/>
          </w:tcPr>
          <w:p w14:paraId="2DAF4A4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230</w:t>
            </w:r>
          </w:p>
        </w:tc>
        <w:tc>
          <w:tcPr>
            <w:tcW w:w="1174" w:type="dxa"/>
            <w:noWrap w:val="0"/>
            <w:vAlign w:val="center"/>
          </w:tcPr>
          <w:p w14:paraId="705228C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230</w:t>
            </w:r>
          </w:p>
        </w:tc>
        <w:tc>
          <w:tcPr>
            <w:tcW w:w="1944" w:type="dxa"/>
            <w:noWrap w:val="0"/>
            <w:vAlign w:val="center"/>
          </w:tcPr>
          <w:p w14:paraId="05BBDE07">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230</w:t>
            </w:r>
          </w:p>
        </w:tc>
        <w:tc>
          <w:tcPr>
            <w:tcW w:w="1606" w:type="dxa"/>
            <w:noWrap w:val="0"/>
            <w:vAlign w:val="center"/>
          </w:tcPr>
          <w:p w14:paraId="6FD8134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0611</w:t>
            </w:r>
          </w:p>
        </w:tc>
      </w:tr>
      <w:tr w14:paraId="02FD7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7" w:hRule="atLeast"/>
          <w:jc w:val="center"/>
        </w:trPr>
        <w:tc>
          <w:tcPr>
            <w:tcW w:w="3780" w:type="dxa"/>
            <w:gridSpan w:val="2"/>
            <w:shd w:val="clear" w:color="auto" w:fill="C0C0C0"/>
            <w:noWrap w:val="0"/>
            <w:vAlign w:val="center"/>
          </w:tcPr>
          <w:p w14:paraId="3C0E84AE">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溶解度 % 不小于</w:t>
            </w:r>
          </w:p>
        </w:tc>
        <w:tc>
          <w:tcPr>
            <w:tcW w:w="1202" w:type="dxa"/>
            <w:noWrap w:val="0"/>
            <w:vAlign w:val="center"/>
          </w:tcPr>
          <w:p w14:paraId="7761F43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99</w:t>
            </w:r>
          </w:p>
        </w:tc>
        <w:tc>
          <w:tcPr>
            <w:tcW w:w="1174" w:type="dxa"/>
            <w:noWrap w:val="0"/>
            <w:vAlign w:val="center"/>
          </w:tcPr>
          <w:p w14:paraId="0077B1DB">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99</w:t>
            </w:r>
          </w:p>
        </w:tc>
        <w:tc>
          <w:tcPr>
            <w:tcW w:w="1944" w:type="dxa"/>
            <w:noWrap w:val="0"/>
            <w:vAlign w:val="center"/>
          </w:tcPr>
          <w:p w14:paraId="50FF5F40">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w:t>
            </w:r>
          </w:p>
        </w:tc>
        <w:tc>
          <w:tcPr>
            <w:tcW w:w="1606" w:type="dxa"/>
            <w:noWrap w:val="0"/>
            <w:vAlign w:val="center"/>
          </w:tcPr>
          <w:p w14:paraId="0609A00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0607</w:t>
            </w:r>
          </w:p>
        </w:tc>
      </w:tr>
      <w:tr w14:paraId="55729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7" w:hRule="atLeast"/>
          <w:jc w:val="center"/>
        </w:trPr>
        <w:tc>
          <w:tcPr>
            <w:tcW w:w="3780" w:type="dxa"/>
            <w:gridSpan w:val="2"/>
            <w:shd w:val="clear" w:color="auto" w:fill="C0C0C0"/>
            <w:noWrap w:val="0"/>
            <w:vAlign w:val="center"/>
          </w:tcPr>
          <w:p w14:paraId="7AAC4EA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弹性恢复25℃ % 不小于</w:t>
            </w:r>
          </w:p>
        </w:tc>
        <w:tc>
          <w:tcPr>
            <w:tcW w:w="1202" w:type="dxa"/>
            <w:noWrap w:val="0"/>
            <w:vAlign w:val="center"/>
          </w:tcPr>
          <w:p w14:paraId="3707AF1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55</w:t>
            </w:r>
          </w:p>
        </w:tc>
        <w:tc>
          <w:tcPr>
            <w:tcW w:w="1174" w:type="dxa"/>
            <w:noWrap w:val="0"/>
            <w:vAlign w:val="center"/>
          </w:tcPr>
          <w:p w14:paraId="5D97569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w:t>
            </w:r>
          </w:p>
        </w:tc>
        <w:tc>
          <w:tcPr>
            <w:tcW w:w="1944" w:type="dxa"/>
            <w:noWrap w:val="0"/>
            <w:vAlign w:val="center"/>
          </w:tcPr>
          <w:p w14:paraId="17B4AD9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w:t>
            </w:r>
          </w:p>
        </w:tc>
        <w:tc>
          <w:tcPr>
            <w:tcW w:w="1606" w:type="dxa"/>
            <w:noWrap w:val="0"/>
            <w:vAlign w:val="center"/>
          </w:tcPr>
          <w:p w14:paraId="5EB72D4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0662</w:t>
            </w:r>
          </w:p>
        </w:tc>
      </w:tr>
      <w:tr w14:paraId="04B01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7" w:hRule="atLeast"/>
          <w:jc w:val="center"/>
        </w:trPr>
        <w:tc>
          <w:tcPr>
            <w:tcW w:w="3780" w:type="dxa"/>
            <w:gridSpan w:val="2"/>
            <w:shd w:val="clear" w:color="auto" w:fill="C0C0C0"/>
            <w:noWrap w:val="0"/>
            <w:vAlign w:val="center"/>
          </w:tcPr>
          <w:p w14:paraId="535404E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粘韧性 N·m 不小于</w:t>
            </w:r>
          </w:p>
        </w:tc>
        <w:tc>
          <w:tcPr>
            <w:tcW w:w="1202" w:type="dxa"/>
            <w:noWrap w:val="0"/>
            <w:vAlign w:val="center"/>
          </w:tcPr>
          <w:p w14:paraId="64943127">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w:t>
            </w:r>
          </w:p>
        </w:tc>
        <w:tc>
          <w:tcPr>
            <w:tcW w:w="1174" w:type="dxa"/>
            <w:noWrap w:val="0"/>
            <w:vAlign w:val="center"/>
          </w:tcPr>
          <w:p w14:paraId="17DFAD76">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5</w:t>
            </w:r>
          </w:p>
        </w:tc>
        <w:tc>
          <w:tcPr>
            <w:tcW w:w="1944" w:type="dxa"/>
            <w:noWrap w:val="0"/>
            <w:vAlign w:val="center"/>
          </w:tcPr>
          <w:p w14:paraId="559BFFC1">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w:t>
            </w:r>
          </w:p>
        </w:tc>
        <w:tc>
          <w:tcPr>
            <w:tcW w:w="1606" w:type="dxa"/>
            <w:noWrap w:val="0"/>
            <w:vAlign w:val="center"/>
          </w:tcPr>
          <w:p w14:paraId="027D1457">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0624</w:t>
            </w:r>
          </w:p>
        </w:tc>
      </w:tr>
      <w:tr w14:paraId="22443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8" w:hRule="atLeast"/>
          <w:jc w:val="center"/>
        </w:trPr>
        <w:tc>
          <w:tcPr>
            <w:tcW w:w="3780" w:type="dxa"/>
            <w:gridSpan w:val="2"/>
            <w:shd w:val="clear" w:color="auto" w:fill="C0C0C0"/>
            <w:noWrap w:val="0"/>
            <w:vAlign w:val="center"/>
          </w:tcPr>
          <w:p w14:paraId="00B5035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韧性 N·m 不小于</w:t>
            </w:r>
          </w:p>
        </w:tc>
        <w:tc>
          <w:tcPr>
            <w:tcW w:w="1202" w:type="dxa"/>
            <w:noWrap w:val="0"/>
            <w:vAlign w:val="center"/>
          </w:tcPr>
          <w:p w14:paraId="2C98859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w:t>
            </w:r>
          </w:p>
        </w:tc>
        <w:tc>
          <w:tcPr>
            <w:tcW w:w="1174" w:type="dxa"/>
            <w:noWrap w:val="0"/>
            <w:vAlign w:val="center"/>
          </w:tcPr>
          <w:p w14:paraId="0DA1019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2.5</w:t>
            </w:r>
          </w:p>
        </w:tc>
        <w:tc>
          <w:tcPr>
            <w:tcW w:w="1944" w:type="dxa"/>
            <w:noWrap w:val="0"/>
            <w:vAlign w:val="center"/>
          </w:tcPr>
          <w:p w14:paraId="322945F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w:t>
            </w:r>
          </w:p>
        </w:tc>
        <w:tc>
          <w:tcPr>
            <w:tcW w:w="1606" w:type="dxa"/>
            <w:noWrap w:val="0"/>
            <w:vAlign w:val="center"/>
          </w:tcPr>
          <w:p w14:paraId="0460C274">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0624</w:t>
            </w:r>
          </w:p>
        </w:tc>
      </w:tr>
      <w:tr w14:paraId="7C353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6" w:hRule="atLeast"/>
          <w:jc w:val="center"/>
        </w:trPr>
        <w:tc>
          <w:tcPr>
            <w:tcW w:w="1492" w:type="dxa"/>
            <w:shd w:val="clear" w:color="auto" w:fill="C0C0C0"/>
            <w:noWrap w:val="0"/>
            <w:vAlign w:val="center"/>
          </w:tcPr>
          <w:p w14:paraId="3B68DCB6">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贮存稳定性</w:t>
            </w:r>
          </w:p>
        </w:tc>
        <w:tc>
          <w:tcPr>
            <w:tcW w:w="2288" w:type="dxa"/>
            <w:shd w:val="clear" w:color="auto" w:fill="C0C0C0"/>
            <w:noWrap w:val="0"/>
            <w:vAlign w:val="center"/>
          </w:tcPr>
          <w:p w14:paraId="5DD7989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离析，48h软化点差，℃ 不大于</w:t>
            </w:r>
          </w:p>
        </w:tc>
        <w:tc>
          <w:tcPr>
            <w:tcW w:w="1202" w:type="dxa"/>
            <w:noWrap w:val="0"/>
            <w:vAlign w:val="center"/>
          </w:tcPr>
          <w:p w14:paraId="47A8EF2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2.5</w:t>
            </w:r>
          </w:p>
        </w:tc>
        <w:tc>
          <w:tcPr>
            <w:tcW w:w="1174" w:type="dxa"/>
            <w:noWrap w:val="0"/>
            <w:vAlign w:val="center"/>
          </w:tcPr>
          <w:p w14:paraId="3A4E34A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w:t>
            </w:r>
          </w:p>
        </w:tc>
        <w:tc>
          <w:tcPr>
            <w:tcW w:w="1944" w:type="dxa"/>
            <w:noWrap w:val="0"/>
            <w:vAlign w:val="center"/>
          </w:tcPr>
          <w:p w14:paraId="1CD816C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无改性剂明显析出、凝聚</w:t>
            </w:r>
          </w:p>
        </w:tc>
        <w:tc>
          <w:tcPr>
            <w:tcW w:w="1606" w:type="dxa"/>
            <w:noWrap w:val="0"/>
            <w:vAlign w:val="center"/>
          </w:tcPr>
          <w:p w14:paraId="105754D4">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0661</w:t>
            </w:r>
          </w:p>
        </w:tc>
      </w:tr>
    </w:tbl>
    <w:p w14:paraId="7A279841">
      <w:pPr>
        <w:keepNext w:val="0"/>
        <w:keepLines w:val="0"/>
        <w:pageBreakBefore w:val="0"/>
        <w:kinsoku/>
        <w:wordWrap/>
        <w:overflowPunct/>
        <w:topLinePunct/>
        <w:bidi w:val="0"/>
        <w:snapToGrid/>
        <w:spacing w:line="360" w:lineRule="auto"/>
        <w:ind w:firstLine="472" w:firstLineChars="196"/>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lang w:eastAsia="zh-CN"/>
        </w:rPr>
        <w:t>（</w:t>
      </w:r>
      <w:r>
        <w:rPr>
          <w:rFonts w:hint="eastAsia" w:ascii="仿宋" w:hAnsi="仿宋" w:eastAsia="仿宋" w:cs="仿宋"/>
          <w:b/>
          <w:color w:val="auto"/>
          <w:sz w:val="24"/>
          <w:szCs w:val="24"/>
          <w:highlight w:val="none"/>
          <w:lang w:val="en-US" w:eastAsia="zh-CN"/>
        </w:rPr>
        <w:t>2</w:t>
      </w:r>
      <w:r>
        <w:rPr>
          <w:rFonts w:hint="eastAsia" w:ascii="仿宋" w:hAnsi="仿宋" w:eastAsia="仿宋" w:cs="仿宋"/>
          <w:b/>
          <w:color w:val="auto"/>
          <w:sz w:val="24"/>
          <w:szCs w:val="24"/>
          <w:highlight w:val="none"/>
          <w:lang w:eastAsia="zh-CN"/>
        </w:rPr>
        <w:t>）</w:t>
      </w:r>
      <w:r>
        <w:rPr>
          <w:rFonts w:hint="eastAsia" w:ascii="仿宋" w:hAnsi="仿宋" w:eastAsia="仿宋" w:cs="仿宋"/>
          <w:b/>
          <w:color w:val="auto"/>
          <w:sz w:val="24"/>
          <w:szCs w:val="24"/>
          <w:highlight w:val="none"/>
        </w:rPr>
        <w:t>集料</w:t>
      </w:r>
    </w:p>
    <w:p w14:paraId="2A41D826">
      <w:pPr>
        <w:keepNext w:val="0"/>
        <w:keepLines w:val="0"/>
        <w:pageBreakBefore w:val="0"/>
        <w:kinsoku/>
        <w:wordWrap/>
        <w:overflowPunct/>
        <w:topLinePunct/>
        <w:bidi w:val="0"/>
        <w:snapToGrid/>
        <w:spacing w:line="360" w:lineRule="auto"/>
        <w:ind w:firstLine="482" w:firstLineChars="200"/>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rPr>
        <w:t>①卵石破碎集料</w:t>
      </w:r>
    </w:p>
    <w:p w14:paraId="14065916">
      <w:pPr>
        <w:keepNext w:val="0"/>
        <w:keepLines w:val="0"/>
        <w:pageBreakBefore w:val="0"/>
        <w:kinsoku/>
        <w:wordWrap/>
        <w:overflowPunct/>
        <w:topLinePunct/>
        <w:bidi w:val="0"/>
        <w:snapToGrid/>
        <w:spacing w:line="36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为保证路面表面的抗滑能力，拟选用卵石破碎集料作为面层沥青混合料所用集料，用于破碎的卵石直径应不小于6cm，卵石破碎集料应满足下表所示的技术要求。</w:t>
      </w:r>
    </w:p>
    <w:p w14:paraId="5E228C72">
      <w:pPr>
        <w:keepNext w:val="0"/>
        <w:keepLines w:val="0"/>
        <w:pageBreakBefore w:val="0"/>
        <w:kinsoku/>
        <w:wordWrap/>
        <w:overflowPunct/>
        <w:topLinePunct/>
        <w:bidi w:val="0"/>
        <w:snapToGrid/>
        <w:spacing w:line="360" w:lineRule="auto"/>
        <w:jc w:val="center"/>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rPr>
        <w:t>沥青混合料用粗集料质量技术要求</w:t>
      </w:r>
    </w:p>
    <w:tbl>
      <w:tblPr>
        <w:tblStyle w:val="88"/>
        <w:tblW w:w="100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48"/>
        <w:gridCol w:w="1980"/>
        <w:gridCol w:w="1980"/>
        <w:gridCol w:w="1800"/>
      </w:tblGrid>
      <w:tr w14:paraId="2B399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3" w:hRule="atLeast"/>
          <w:tblHeader/>
          <w:jc w:val="center"/>
        </w:trPr>
        <w:tc>
          <w:tcPr>
            <w:tcW w:w="4248" w:type="dxa"/>
            <w:shd w:val="clear" w:color="auto" w:fill="C0C0C0"/>
            <w:noWrap w:val="0"/>
            <w:vAlign w:val="center"/>
          </w:tcPr>
          <w:p w14:paraId="4F707EA6">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指  标</w:t>
            </w:r>
          </w:p>
        </w:tc>
        <w:tc>
          <w:tcPr>
            <w:tcW w:w="1980" w:type="dxa"/>
            <w:shd w:val="clear" w:color="auto" w:fill="C0C0C0"/>
            <w:noWrap w:val="0"/>
            <w:vAlign w:val="center"/>
          </w:tcPr>
          <w:p w14:paraId="1ED43624">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其他层用集料</w:t>
            </w:r>
          </w:p>
        </w:tc>
        <w:tc>
          <w:tcPr>
            <w:tcW w:w="1980" w:type="dxa"/>
            <w:shd w:val="clear" w:color="auto" w:fill="C0C0C0"/>
            <w:noWrap w:val="0"/>
            <w:vAlign w:val="center"/>
          </w:tcPr>
          <w:p w14:paraId="689C4AF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面层用集料</w:t>
            </w:r>
          </w:p>
        </w:tc>
        <w:tc>
          <w:tcPr>
            <w:tcW w:w="1800" w:type="dxa"/>
            <w:shd w:val="clear" w:color="auto" w:fill="C0C0C0"/>
            <w:noWrap w:val="0"/>
            <w:vAlign w:val="center"/>
          </w:tcPr>
          <w:p w14:paraId="4408216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试验方法</w:t>
            </w:r>
          </w:p>
        </w:tc>
      </w:tr>
      <w:tr w14:paraId="1A809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4248" w:type="dxa"/>
            <w:shd w:val="clear" w:color="auto" w:fill="C0C0C0"/>
            <w:noWrap w:val="0"/>
            <w:vAlign w:val="center"/>
          </w:tcPr>
          <w:p w14:paraId="266BE96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石料压碎值 不大于 %</w:t>
            </w:r>
          </w:p>
        </w:tc>
        <w:tc>
          <w:tcPr>
            <w:tcW w:w="1980" w:type="dxa"/>
            <w:noWrap w:val="0"/>
            <w:vAlign w:val="center"/>
          </w:tcPr>
          <w:p w14:paraId="5B798BFB">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28</w:t>
            </w:r>
          </w:p>
        </w:tc>
        <w:tc>
          <w:tcPr>
            <w:tcW w:w="1980" w:type="dxa"/>
            <w:noWrap w:val="0"/>
            <w:vAlign w:val="center"/>
          </w:tcPr>
          <w:p w14:paraId="7DBDC3B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26</w:t>
            </w:r>
          </w:p>
        </w:tc>
        <w:tc>
          <w:tcPr>
            <w:tcW w:w="1800" w:type="dxa"/>
            <w:noWrap w:val="0"/>
            <w:vAlign w:val="center"/>
          </w:tcPr>
          <w:p w14:paraId="438F2474">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0316</w:t>
            </w:r>
          </w:p>
        </w:tc>
      </w:tr>
      <w:tr w14:paraId="1195B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jc w:val="center"/>
        </w:trPr>
        <w:tc>
          <w:tcPr>
            <w:tcW w:w="4248" w:type="dxa"/>
            <w:shd w:val="clear" w:color="auto" w:fill="C0C0C0"/>
            <w:noWrap w:val="0"/>
            <w:vAlign w:val="center"/>
          </w:tcPr>
          <w:p w14:paraId="07314456">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洛杉矶磨耗损失 不大于 %</w:t>
            </w:r>
          </w:p>
        </w:tc>
        <w:tc>
          <w:tcPr>
            <w:tcW w:w="1980" w:type="dxa"/>
            <w:noWrap w:val="0"/>
            <w:vAlign w:val="center"/>
          </w:tcPr>
          <w:p w14:paraId="1547AFC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30</w:t>
            </w:r>
          </w:p>
        </w:tc>
        <w:tc>
          <w:tcPr>
            <w:tcW w:w="1980" w:type="dxa"/>
            <w:noWrap w:val="0"/>
            <w:vAlign w:val="center"/>
          </w:tcPr>
          <w:p w14:paraId="2C46EBC1">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28</w:t>
            </w:r>
          </w:p>
        </w:tc>
        <w:tc>
          <w:tcPr>
            <w:tcW w:w="1800" w:type="dxa"/>
            <w:noWrap w:val="0"/>
            <w:vAlign w:val="center"/>
          </w:tcPr>
          <w:p w14:paraId="29CF9885">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0317</w:t>
            </w:r>
          </w:p>
        </w:tc>
      </w:tr>
      <w:tr w14:paraId="11455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1" w:hRule="atLeast"/>
          <w:jc w:val="center"/>
        </w:trPr>
        <w:tc>
          <w:tcPr>
            <w:tcW w:w="4248" w:type="dxa"/>
            <w:shd w:val="clear" w:color="auto" w:fill="C0C0C0"/>
            <w:noWrap w:val="0"/>
            <w:vAlign w:val="center"/>
          </w:tcPr>
          <w:p w14:paraId="02A741D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表现相对密度 不小于  g/cm</w:t>
            </w:r>
            <w:r>
              <w:rPr>
                <w:rFonts w:hint="eastAsia" w:ascii="仿宋" w:hAnsi="仿宋" w:eastAsia="仿宋" w:cs="仿宋"/>
                <w:color w:val="auto"/>
                <w:sz w:val="24"/>
                <w:szCs w:val="24"/>
                <w:highlight w:val="none"/>
                <w:vertAlign w:val="superscript"/>
              </w:rPr>
              <w:t>3</w:t>
            </w:r>
          </w:p>
        </w:tc>
        <w:tc>
          <w:tcPr>
            <w:tcW w:w="1980" w:type="dxa"/>
            <w:noWrap w:val="0"/>
            <w:vAlign w:val="center"/>
          </w:tcPr>
          <w:p w14:paraId="3807BA0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2.5</w:t>
            </w:r>
          </w:p>
        </w:tc>
        <w:tc>
          <w:tcPr>
            <w:tcW w:w="1980" w:type="dxa"/>
            <w:noWrap w:val="0"/>
            <w:vAlign w:val="center"/>
          </w:tcPr>
          <w:p w14:paraId="7A53715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2.6</w:t>
            </w:r>
          </w:p>
        </w:tc>
        <w:tc>
          <w:tcPr>
            <w:tcW w:w="1800" w:type="dxa"/>
            <w:noWrap w:val="0"/>
            <w:vAlign w:val="center"/>
          </w:tcPr>
          <w:p w14:paraId="370A10C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0304</w:t>
            </w:r>
          </w:p>
        </w:tc>
      </w:tr>
      <w:tr w14:paraId="1046C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jc w:val="center"/>
        </w:trPr>
        <w:tc>
          <w:tcPr>
            <w:tcW w:w="4248" w:type="dxa"/>
            <w:shd w:val="clear" w:color="auto" w:fill="C0C0C0"/>
            <w:noWrap w:val="0"/>
            <w:vAlign w:val="center"/>
          </w:tcPr>
          <w:p w14:paraId="382D822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吸水率 不大于 %</w:t>
            </w:r>
          </w:p>
        </w:tc>
        <w:tc>
          <w:tcPr>
            <w:tcW w:w="1980" w:type="dxa"/>
            <w:noWrap w:val="0"/>
            <w:vAlign w:val="center"/>
          </w:tcPr>
          <w:p w14:paraId="39D8D12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3.0</w:t>
            </w:r>
          </w:p>
        </w:tc>
        <w:tc>
          <w:tcPr>
            <w:tcW w:w="1980" w:type="dxa"/>
            <w:noWrap w:val="0"/>
            <w:vAlign w:val="center"/>
          </w:tcPr>
          <w:p w14:paraId="0C83D9C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2.0</w:t>
            </w:r>
          </w:p>
        </w:tc>
        <w:tc>
          <w:tcPr>
            <w:tcW w:w="1800" w:type="dxa"/>
            <w:noWrap w:val="0"/>
            <w:vAlign w:val="center"/>
          </w:tcPr>
          <w:p w14:paraId="3A87C90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0304</w:t>
            </w:r>
          </w:p>
        </w:tc>
      </w:tr>
      <w:tr w14:paraId="063EA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4248" w:type="dxa"/>
            <w:shd w:val="clear" w:color="auto" w:fill="C0C0C0"/>
            <w:noWrap w:val="0"/>
            <w:vAlign w:val="center"/>
          </w:tcPr>
          <w:p w14:paraId="79982F1E">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坚固性 不大于  %</w:t>
            </w:r>
          </w:p>
        </w:tc>
        <w:tc>
          <w:tcPr>
            <w:tcW w:w="1980" w:type="dxa"/>
            <w:noWrap w:val="0"/>
            <w:vAlign w:val="center"/>
          </w:tcPr>
          <w:p w14:paraId="4FA2BA97">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12</w:t>
            </w:r>
          </w:p>
        </w:tc>
        <w:tc>
          <w:tcPr>
            <w:tcW w:w="1980" w:type="dxa"/>
            <w:noWrap w:val="0"/>
            <w:vAlign w:val="center"/>
          </w:tcPr>
          <w:p w14:paraId="647BDF5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12</w:t>
            </w:r>
          </w:p>
        </w:tc>
        <w:tc>
          <w:tcPr>
            <w:tcW w:w="1800" w:type="dxa"/>
            <w:noWrap w:val="0"/>
            <w:vAlign w:val="center"/>
          </w:tcPr>
          <w:p w14:paraId="30EC4FC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0314</w:t>
            </w:r>
          </w:p>
        </w:tc>
      </w:tr>
      <w:tr w14:paraId="203D0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4248" w:type="dxa"/>
            <w:shd w:val="clear" w:color="auto" w:fill="C0C0C0"/>
            <w:noWrap w:val="0"/>
            <w:vAlign w:val="center"/>
          </w:tcPr>
          <w:p w14:paraId="440E731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针片状颗粒含量（混合料） 不大于 %</w:t>
            </w:r>
          </w:p>
          <w:p w14:paraId="1638A15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其中粒径大于9.5mm 不大于 %</w:t>
            </w:r>
          </w:p>
          <w:p w14:paraId="52B167E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其中粒径小于9.5mm 不大于 %</w:t>
            </w:r>
          </w:p>
        </w:tc>
        <w:tc>
          <w:tcPr>
            <w:tcW w:w="1980" w:type="dxa"/>
            <w:noWrap w:val="0"/>
            <w:vAlign w:val="center"/>
          </w:tcPr>
          <w:p w14:paraId="1A89085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18</w:t>
            </w:r>
          </w:p>
          <w:p w14:paraId="2CC1F66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15</w:t>
            </w:r>
          </w:p>
          <w:p w14:paraId="202897B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20</w:t>
            </w:r>
          </w:p>
        </w:tc>
        <w:tc>
          <w:tcPr>
            <w:tcW w:w="1980" w:type="dxa"/>
            <w:noWrap w:val="0"/>
            <w:vAlign w:val="center"/>
          </w:tcPr>
          <w:p w14:paraId="2E2FCDAE">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15</w:t>
            </w:r>
          </w:p>
          <w:p w14:paraId="3E9E278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12</w:t>
            </w:r>
          </w:p>
          <w:p w14:paraId="2C82271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18</w:t>
            </w:r>
          </w:p>
        </w:tc>
        <w:tc>
          <w:tcPr>
            <w:tcW w:w="1800" w:type="dxa"/>
            <w:noWrap w:val="0"/>
            <w:vAlign w:val="center"/>
          </w:tcPr>
          <w:p w14:paraId="13FC81F5">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0312</w:t>
            </w:r>
          </w:p>
        </w:tc>
      </w:tr>
      <w:tr w14:paraId="02A94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4248" w:type="dxa"/>
            <w:shd w:val="clear" w:color="auto" w:fill="C0C0C0"/>
            <w:noWrap w:val="0"/>
            <w:vAlign w:val="center"/>
          </w:tcPr>
          <w:p w14:paraId="6B49F04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水洗法&lt;0.075mm颗粒含量 不大于 %</w:t>
            </w:r>
          </w:p>
        </w:tc>
        <w:tc>
          <w:tcPr>
            <w:tcW w:w="1980" w:type="dxa"/>
            <w:noWrap w:val="0"/>
            <w:vAlign w:val="center"/>
          </w:tcPr>
          <w:p w14:paraId="71946C10">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w:t>
            </w:r>
          </w:p>
        </w:tc>
        <w:tc>
          <w:tcPr>
            <w:tcW w:w="1980" w:type="dxa"/>
            <w:noWrap w:val="0"/>
            <w:vAlign w:val="center"/>
          </w:tcPr>
          <w:p w14:paraId="47BE373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w:t>
            </w:r>
          </w:p>
        </w:tc>
        <w:tc>
          <w:tcPr>
            <w:tcW w:w="1800" w:type="dxa"/>
            <w:noWrap w:val="0"/>
            <w:vAlign w:val="center"/>
          </w:tcPr>
          <w:p w14:paraId="1DC251F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0310</w:t>
            </w:r>
          </w:p>
        </w:tc>
      </w:tr>
      <w:tr w14:paraId="2011B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5" w:hRule="atLeast"/>
          <w:jc w:val="center"/>
        </w:trPr>
        <w:tc>
          <w:tcPr>
            <w:tcW w:w="4248" w:type="dxa"/>
            <w:shd w:val="clear" w:color="auto" w:fill="C0C0C0"/>
            <w:noWrap w:val="0"/>
            <w:vAlign w:val="center"/>
          </w:tcPr>
          <w:p w14:paraId="7DCAC68E">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软石含量 不大于 %</w:t>
            </w:r>
          </w:p>
        </w:tc>
        <w:tc>
          <w:tcPr>
            <w:tcW w:w="1980" w:type="dxa"/>
            <w:noWrap w:val="0"/>
            <w:vAlign w:val="center"/>
          </w:tcPr>
          <w:p w14:paraId="273D1B3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5</w:t>
            </w:r>
          </w:p>
        </w:tc>
        <w:tc>
          <w:tcPr>
            <w:tcW w:w="1980" w:type="dxa"/>
            <w:noWrap w:val="0"/>
            <w:vAlign w:val="center"/>
          </w:tcPr>
          <w:p w14:paraId="2CD76746">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3</w:t>
            </w:r>
          </w:p>
        </w:tc>
        <w:tc>
          <w:tcPr>
            <w:tcW w:w="1800" w:type="dxa"/>
            <w:noWrap w:val="0"/>
            <w:vAlign w:val="center"/>
          </w:tcPr>
          <w:p w14:paraId="11D996B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0320</w:t>
            </w:r>
          </w:p>
        </w:tc>
      </w:tr>
    </w:tbl>
    <w:p w14:paraId="14F5E484">
      <w:pPr>
        <w:keepNext w:val="0"/>
        <w:keepLines w:val="0"/>
        <w:pageBreakBefore w:val="0"/>
        <w:kinsoku/>
        <w:wordWrap/>
        <w:overflowPunct/>
        <w:topLinePunct/>
        <w:bidi w:val="0"/>
        <w:snapToGrid/>
        <w:spacing w:line="360" w:lineRule="auto"/>
        <w:ind w:firstLine="482" w:firstLineChars="200"/>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rPr>
        <w:t>②矿粉</w:t>
      </w:r>
    </w:p>
    <w:p w14:paraId="5F21EA9F">
      <w:pPr>
        <w:keepNext w:val="0"/>
        <w:keepLines w:val="0"/>
        <w:pageBreakBefore w:val="0"/>
        <w:kinsoku/>
        <w:wordWrap/>
        <w:overflowPunct/>
        <w:topLinePunct/>
        <w:bidi w:val="0"/>
        <w:snapToGrid/>
        <w:spacing w:line="360" w:lineRule="auto"/>
        <w:ind w:firstLine="57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拟采用符合《公路沥青路面施工技术规范》（JTG F40-2004）中技术要求的石灰石矿粉，施工中应保持矿粉干燥无结团，成团的矿粉不得直接使用。</w:t>
      </w:r>
    </w:p>
    <w:p w14:paraId="58D2B93E">
      <w:pPr>
        <w:keepNext w:val="0"/>
        <w:keepLines w:val="0"/>
        <w:pageBreakBefore w:val="0"/>
        <w:kinsoku/>
        <w:wordWrap/>
        <w:overflowPunct/>
        <w:topLinePunct/>
        <w:bidi w:val="0"/>
        <w:snapToGrid/>
        <w:spacing w:line="360" w:lineRule="auto"/>
        <w:ind w:firstLine="482" w:firstLineChars="200"/>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rPr>
        <w:t>③抗剥落剂</w:t>
      </w:r>
    </w:p>
    <w:p w14:paraId="52B8300C">
      <w:pPr>
        <w:keepNext w:val="0"/>
        <w:keepLines w:val="0"/>
        <w:pageBreakBefore w:val="0"/>
        <w:kinsoku/>
        <w:wordWrap/>
        <w:overflowPunct/>
        <w:topLinePunct/>
        <w:bidi w:val="0"/>
        <w:snapToGrid/>
        <w:spacing w:line="360" w:lineRule="auto"/>
        <w:ind w:firstLine="57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为保证沥青混合料中集料与沥青的粘附性，在集料与沥青的粘附达不到4级或4级以上的条件下，需使用抗剥落剂来改善其间的粘附性。</w:t>
      </w:r>
    </w:p>
    <w:p w14:paraId="2133DB10">
      <w:pPr>
        <w:keepNext w:val="0"/>
        <w:keepLines w:val="0"/>
        <w:pageBreakBefore w:val="0"/>
        <w:kinsoku/>
        <w:wordWrap/>
        <w:overflowPunct/>
        <w:topLinePunct/>
        <w:bidi w:val="0"/>
        <w:snapToGrid/>
        <w:spacing w:line="360" w:lineRule="auto"/>
        <w:ind w:firstLine="57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应选用质量优良，长期抗剥落性能较好的抗剥落剂；也可以采取掺加定量的石灰代替矿粉来提高石料与沥青的粘附能力。</w:t>
      </w:r>
    </w:p>
    <w:p w14:paraId="0FAD2C1E">
      <w:pPr>
        <w:keepNext w:val="0"/>
        <w:keepLines w:val="0"/>
        <w:pageBreakBefore w:val="0"/>
        <w:kinsoku/>
        <w:wordWrap/>
        <w:overflowPunct/>
        <w:topLinePunct/>
        <w:bidi w:val="0"/>
        <w:snapToGrid/>
        <w:spacing w:line="360" w:lineRule="auto"/>
        <w:ind w:firstLine="472" w:firstLineChars="196"/>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lang w:eastAsia="zh-CN"/>
        </w:rPr>
        <w:t>（</w:t>
      </w:r>
      <w:r>
        <w:rPr>
          <w:rFonts w:hint="eastAsia" w:ascii="仿宋" w:hAnsi="仿宋" w:eastAsia="仿宋" w:cs="仿宋"/>
          <w:b/>
          <w:color w:val="auto"/>
          <w:sz w:val="24"/>
          <w:szCs w:val="24"/>
          <w:highlight w:val="none"/>
          <w:lang w:val="en-US" w:eastAsia="zh-CN"/>
        </w:rPr>
        <w:t>3</w:t>
      </w:r>
      <w:r>
        <w:rPr>
          <w:rFonts w:hint="eastAsia" w:ascii="仿宋" w:hAnsi="仿宋" w:eastAsia="仿宋" w:cs="仿宋"/>
          <w:b/>
          <w:color w:val="auto"/>
          <w:sz w:val="24"/>
          <w:szCs w:val="24"/>
          <w:highlight w:val="none"/>
          <w:lang w:eastAsia="zh-CN"/>
        </w:rPr>
        <w:t>）</w:t>
      </w:r>
      <w:r>
        <w:rPr>
          <w:rFonts w:hint="eastAsia" w:ascii="仿宋" w:hAnsi="仿宋" w:eastAsia="仿宋" w:cs="仿宋"/>
          <w:b/>
          <w:color w:val="auto"/>
          <w:sz w:val="24"/>
          <w:szCs w:val="24"/>
          <w:highlight w:val="none"/>
        </w:rPr>
        <w:t>抗车辙剂</w:t>
      </w:r>
    </w:p>
    <w:p w14:paraId="32B3BC58">
      <w:pPr>
        <w:keepNext w:val="0"/>
        <w:keepLines w:val="0"/>
        <w:pageBreakBefore w:val="0"/>
        <w:widowControl w:val="0"/>
        <w:numPr>
          <w:ilvl w:val="0"/>
          <w:numId w:val="31"/>
        </w:numPr>
        <w:kinsoku/>
        <w:wordWrap/>
        <w:overflowPunct/>
        <w:topLinePunct/>
        <w:autoSpaceDE/>
        <w:autoSpaceDN/>
        <w:bidi w:val="0"/>
        <w:adjustRightInd/>
        <w:snapToGrid/>
        <w:spacing w:line="360" w:lineRule="auto"/>
        <w:ind w:left="0"/>
        <w:jc w:val="left"/>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rPr>
        <w:t>车辙剂的性能要求</w:t>
      </w:r>
    </w:p>
    <w:p w14:paraId="3C42C7DE">
      <w:pPr>
        <w:keepNext w:val="0"/>
        <w:keepLines w:val="0"/>
        <w:pageBreakBefore w:val="0"/>
        <w:kinsoku/>
        <w:wordWrap/>
        <w:overflowPunct/>
        <w:topLinePunct/>
        <w:bidi w:val="0"/>
        <w:snapToGrid/>
        <w:spacing w:line="360" w:lineRule="auto"/>
        <w:ind w:firstLine="470" w:firstLineChars="196"/>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本道路所在的片区还未开发建设，考虑开发建设超重车较多，为了提高沥青混泥土路面的抗车辙性能，在道路的路面中、下面层沥青混凝土中加入抗车辙剂，掺量为沥青混凝土重量的0.4%，即每吨混合料掺加4公斤。抗车辙剂应符合下表所列的技术要求：</w:t>
      </w:r>
    </w:p>
    <w:p w14:paraId="5B538677">
      <w:pPr>
        <w:keepNext w:val="0"/>
        <w:keepLines w:val="0"/>
        <w:pageBreakBefore w:val="0"/>
        <w:kinsoku/>
        <w:wordWrap/>
        <w:overflowPunct/>
        <w:bidi w:val="0"/>
        <w:snapToGrid/>
        <w:spacing w:line="360" w:lineRule="auto"/>
        <w:ind w:firstLine="482" w:firstLineChars="200"/>
        <w:jc w:val="center"/>
        <w:textAlignment w:val="auto"/>
        <w:rPr>
          <w:rFonts w:hint="eastAsia" w:ascii="仿宋" w:hAnsi="仿宋" w:eastAsia="仿宋" w:cs="仿宋"/>
          <w:color w:val="auto"/>
          <w:sz w:val="24"/>
          <w:szCs w:val="24"/>
          <w:highlight w:val="none"/>
        </w:rPr>
      </w:pPr>
      <w:r>
        <w:rPr>
          <w:rFonts w:hint="eastAsia" w:ascii="仿宋" w:hAnsi="仿宋" w:eastAsia="仿宋" w:cs="仿宋"/>
          <w:b/>
          <w:color w:val="auto"/>
          <w:sz w:val="24"/>
          <w:szCs w:val="24"/>
          <w:highlight w:val="none"/>
        </w:rPr>
        <w:t xml:space="preserve">抗车辙剂的技术要求   </w:t>
      </w:r>
      <w:r>
        <w:rPr>
          <w:rFonts w:hint="eastAsia" w:ascii="仿宋" w:hAnsi="仿宋" w:eastAsia="仿宋" w:cs="仿宋"/>
          <w:color w:val="auto"/>
          <w:sz w:val="24"/>
          <w:szCs w:val="24"/>
          <w:highlight w:val="none"/>
        </w:rPr>
        <w:t xml:space="preserve">             </w:t>
      </w:r>
    </w:p>
    <w:tbl>
      <w:tblPr>
        <w:tblStyle w:val="88"/>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612"/>
        <w:gridCol w:w="4899"/>
      </w:tblGrid>
      <w:tr w14:paraId="2AB9A5D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85" w:hRule="atLeast"/>
          <w:jc w:val="center"/>
        </w:trPr>
        <w:tc>
          <w:tcPr>
            <w:tcW w:w="4612" w:type="dxa"/>
            <w:tcBorders>
              <w:top w:val="single" w:color="auto" w:sz="12" w:space="0"/>
              <w:bottom w:val="single" w:color="auto" w:sz="6" w:space="0"/>
            </w:tcBorders>
            <w:shd w:val="clear" w:color="auto" w:fill="C0C0C0"/>
            <w:noWrap w:val="0"/>
            <w:vAlign w:val="center"/>
          </w:tcPr>
          <w:p w14:paraId="2CFB140B">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指       标</w:t>
            </w:r>
          </w:p>
        </w:tc>
        <w:tc>
          <w:tcPr>
            <w:tcW w:w="4899" w:type="dxa"/>
            <w:noWrap w:val="0"/>
            <w:vAlign w:val="center"/>
          </w:tcPr>
          <w:p w14:paraId="10055368">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要   求</w:t>
            </w:r>
          </w:p>
        </w:tc>
      </w:tr>
      <w:tr w14:paraId="7001E23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85" w:hRule="atLeast"/>
          <w:jc w:val="center"/>
        </w:trPr>
        <w:tc>
          <w:tcPr>
            <w:tcW w:w="4612" w:type="dxa"/>
            <w:tcBorders>
              <w:top w:val="single" w:color="auto" w:sz="6" w:space="0"/>
              <w:bottom w:val="single" w:color="auto" w:sz="6" w:space="0"/>
            </w:tcBorders>
            <w:shd w:val="clear" w:color="auto" w:fill="C0C0C0"/>
            <w:noWrap w:val="0"/>
            <w:vAlign w:val="center"/>
          </w:tcPr>
          <w:p w14:paraId="29C960A4">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粒径</w:t>
            </w:r>
          </w:p>
        </w:tc>
        <w:tc>
          <w:tcPr>
            <w:tcW w:w="4899" w:type="dxa"/>
            <w:noWrap w:val="0"/>
            <w:vAlign w:val="center"/>
          </w:tcPr>
          <w:p w14:paraId="3DCD094B">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≤4mm</w:t>
            </w:r>
          </w:p>
        </w:tc>
      </w:tr>
      <w:tr w14:paraId="274560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85" w:hRule="atLeast"/>
          <w:jc w:val="center"/>
        </w:trPr>
        <w:tc>
          <w:tcPr>
            <w:tcW w:w="4612" w:type="dxa"/>
            <w:tcBorders>
              <w:top w:val="single" w:color="auto" w:sz="6" w:space="0"/>
              <w:bottom w:val="single" w:color="auto" w:sz="6" w:space="0"/>
            </w:tcBorders>
            <w:shd w:val="clear" w:color="auto" w:fill="C0C0C0"/>
            <w:noWrap w:val="0"/>
            <w:vAlign w:val="center"/>
          </w:tcPr>
          <w:p w14:paraId="25EE9151">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密度</w:t>
            </w:r>
          </w:p>
        </w:tc>
        <w:tc>
          <w:tcPr>
            <w:tcW w:w="4899" w:type="dxa"/>
            <w:noWrap w:val="0"/>
            <w:vAlign w:val="center"/>
          </w:tcPr>
          <w:p w14:paraId="07B078E5">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1.0±0.1g/cm</w:t>
            </w:r>
            <w:r>
              <w:rPr>
                <w:rFonts w:hint="eastAsia" w:ascii="仿宋" w:hAnsi="仿宋" w:eastAsia="仿宋" w:cs="仿宋"/>
                <w:color w:val="auto"/>
                <w:sz w:val="24"/>
                <w:szCs w:val="24"/>
                <w:highlight w:val="none"/>
                <w:vertAlign w:val="superscript"/>
              </w:rPr>
              <w:t>3</w:t>
            </w:r>
          </w:p>
        </w:tc>
      </w:tr>
      <w:tr w14:paraId="045010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85" w:hRule="atLeast"/>
          <w:jc w:val="center"/>
        </w:trPr>
        <w:tc>
          <w:tcPr>
            <w:tcW w:w="4612" w:type="dxa"/>
            <w:tcBorders>
              <w:top w:val="single" w:color="auto" w:sz="6" w:space="0"/>
              <w:bottom w:val="single" w:color="auto" w:sz="6" w:space="0"/>
            </w:tcBorders>
            <w:shd w:val="clear" w:color="auto" w:fill="C0C0C0"/>
            <w:noWrap w:val="0"/>
            <w:vAlign w:val="center"/>
          </w:tcPr>
          <w:p w14:paraId="2A5FE5AA">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软化点</w:t>
            </w:r>
          </w:p>
        </w:tc>
        <w:tc>
          <w:tcPr>
            <w:tcW w:w="4899" w:type="dxa"/>
            <w:noWrap w:val="0"/>
            <w:vAlign w:val="center"/>
          </w:tcPr>
          <w:p w14:paraId="12DA2DB6">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≤130℃</w:t>
            </w:r>
          </w:p>
        </w:tc>
      </w:tr>
      <w:tr w14:paraId="716012C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85" w:hRule="atLeast"/>
          <w:jc w:val="center"/>
        </w:trPr>
        <w:tc>
          <w:tcPr>
            <w:tcW w:w="4612" w:type="dxa"/>
            <w:tcBorders>
              <w:top w:val="single" w:color="auto" w:sz="6" w:space="0"/>
              <w:bottom w:val="single" w:color="auto" w:sz="6" w:space="0"/>
            </w:tcBorders>
            <w:shd w:val="clear" w:color="auto" w:fill="C0C0C0"/>
            <w:noWrap w:val="0"/>
            <w:vAlign w:val="center"/>
          </w:tcPr>
          <w:p w14:paraId="4C810EA1">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熔融指数</w:t>
            </w:r>
          </w:p>
        </w:tc>
        <w:tc>
          <w:tcPr>
            <w:tcW w:w="4899" w:type="dxa"/>
            <w:noWrap w:val="0"/>
            <w:vAlign w:val="center"/>
          </w:tcPr>
          <w:p w14:paraId="6AB29635">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≥8g/10min</w:t>
            </w:r>
          </w:p>
        </w:tc>
      </w:tr>
      <w:tr w14:paraId="5413E1E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85" w:hRule="atLeast"/>
          <w:jc w:val="center"/>
        </w:trPr>
        <w:tc>
          <w:tcPr>
            <w:tcW w:w="4612" w:type="dxa"/>
            <w:tcBorders>
              <w:top w:val="single" w:color="auto" w:sz="6" w:space="0"/>
              <w:bottom w:val="single" w:color="auto" w:sz="6" w:space="0"/>
            </w:tcBorders>
            <w:shd w:val="clear" w:color="auto" w:fill="C0C0C0"/>
            <w:noWrap w:val="0"/>
            <w:vAlign w:val="center"/>
          </w:tcPr>
          <w:p w14:paraId="24C02A58">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添加抗车辙剂的沥青混凝土动稳定度</w:t>
            </w:r>
          </w:p>
        </w:tc>
        <w:tc>
          <w:tcPr>
            <w:tcW w:w="4899" w:type="dxa"/>
            <w:noWrap w:val="0"/>
            <w:vAlign w:val="center"/>
          </w:tcPr>
          <w:p w14:paraId="0E37CCCE">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≥6000次/mm</w:t>
            </w:r>
          </w:p>
        </w:tc>
      </w:tr>
      <w:tr w14:paraId="548C56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85" w:hRule="atLeast"/>
          <w:jc w:val="center"/>
        </w:trPr>
        <w:tc>
          <w:tcPr>
            <w:tcW w:w="9511" w:type="dxa"/>
            <w:gridSpan w:val="2"/>
            <w:noWrap w:val="0"/>
            <w:vAlign w:val="top"/>
          </w:tcPr>
          <w:p w14:paraId="51541671">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为保证工程质量，所选用抗车辙剂必须取得《重庆市建设领域新技术认定证书》，并在城乡建设主管部门备案</w:t>
            </w:r>
          </w:p>
        </w:tc>
      </w:tr>
    </w:tbl>
    <w:p w14:paraId="11A04FE8">
      <w:pPr>
        <w:keepNext w:val="0"/>
        <w:keepLines w:val="0"/>
        <w:pageBreakBefore w:val="0"/>
        <w:kinsoku/>
        <w:wordWrap/>
        <w:overflowPunct/>
        <w:topLinePunct/>
        <w:bidi w:val="0"/>
        <w:snapToGrid/>
        <w:spacing w:line="360" w:lineRule="auto"/>
        <w:ind w:firstLine="593" w:firstLineChars="246"/>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rPr>
        <w:t>②添加抗车辙剂时的施工注意事项</w:t>
      </w:r>
    </w:p>
    <w:p w14:paraId="3F265541">
      <w:pPr>
        <w:keepNext w:val="0"/>
        <w:keepLines w:val="0"/>
        <w:pageBreakBefore w:val="0"/>
        <w:kinsoku/>
        <w:wordWrap/>
        <w:overflowPunct/>
        <w:topLinePunct/>
        <w:bidi w:val="0"/>
        <w:snapToGrid/>
        <w:spacing w:line="360" w:lineRule="auto"/>
        <w:ind w:firstLine="470" w:firstLineChars="196"/>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为了提高添加抗车辙剂的精确度以及避免因人工添加产生的安全事故，添加抗车辙时应使用带电子称重功能和随机打印功能的添加设备添加。</w:t>
      </w:r>
    </w:p>
    <w:p w14:paraId="14E9A60B">
      <w:pPr>
        <w:keepNext w:val="0"/>
        <w:keepLines w:val="0"/>
        <w:pageBreakBefore w:val="0"/>
        <w:kinsoku/>
        <w:wordWrap/>
        <w:overflowPunct/>
        <w:topLinePunct/>
        <w:bidi w:val="0"/>
        <w:snapToGrid/>
        <w:spacing w:line="360" w:lineRule="auto"/>
        <w:ind w:firstLine="470" w:firstLineChars="196"/>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在热集料干拌时将一定比例的抗车辙剂一次性投入，应适当延长搅拌时间10～15秒。</w:t>
      </w:r>
    </w:p>
    <w:p w14:paraId="2F10893E">
      <w:pPr>
        <w:keepNext w:val="0"/>
        <w:keepLines w:val="0"/>
        <w:pageBreakBefore w:val="0"/>
        <w:kinsoku/>
        <w:wordWrap/>
        <w:overflowPunct/>
        <w:topLinePunct/>
        <w:bidi w:val="0"/>
        <w:snapToGrid/>
        <w:spacing w:line="360" w:lineRule="auto"/>
        <w:ind w:firstLine="470" w:firstLineChars="196"/>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掺加抗车辙剂后，沥青混合料出料温度、摊铺温度和初压温度比同等气温下普通沥青料提高10～20℃。</w:t>
      </w:r>
    </w:p>
    <w:p w14:paraId="7F8341AD">
      <w:pPr>
        <w:keepNext w:val="0"/>
        <w:keepLines w:val="0"/>
        <w:pageBreakBefore w:val="0"/>
        <w:kinsoku/>
        <w:wordWrap/>
        <w:overflowPunct/>
        <w:topLinePunct/>
        <w:bidi w:val="0"/>
        <w:snapToGrid/>
        <w:spacing w:line="360" w:lineRule="auto"/>
        <w:ind w:firstLine="472" w:firstLineChars="196"/>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lang w:eastAsia="zh-CN"/>
        </w:rPr>
        <w:t>（</w:t>
      </w:r>
      <w:r>
        <w:rPr>
          <w:rFonts w:hint="eastAsia" w:ascii="仿宋" w:hAnsi="仿宋" w:eastAsia="仿宋" w:cs="仿宋"/>
          <w:b/>
          <w:color w:val="auto"/>
          <w:sz w:val="24"/>
          <w:szCs w:val="24"/>
          <w:highlight w:val="none"/>
          <w:lang w:val="en-US" w:eastAsia="zh-CN"/>
        </w:rPr>
        <w:t>4</w:t>
      </w:r>
      <w:r>
        <w:rPr>
          <w:rFonts w:hint="eastAsia" w:ascii="仿宋" w:hAnsi="仿宋" w:eastAsia="仿宋" w:cs="仿宋"/>
          <w:b/>
          <w:color w:val="auto"/>
          <w:sz w:val="24"/>
          <w:szCs w:val="24"/>
          <w:highlight w:val="none"/>
          <w:lang w:eastAsia="zh-CN"/>
        </w:rPr>
        <w:t>）</w:t>
      </w:r>
      <w:r>
        <w:rPr>
          <w:rFonts w:hint="eastAsia" w:ascii="仿宋" w:hAnsi="仿宋" w:eastAsia="仿宋" w:cs="仿宋"/>
          <w:b/>
          <w:color w:val="auto"/>
          <w:sz w:val="24"/>
          <w:szCs w:val="24"/>
          <w:highlight w:val="none"/>
        </w:rPr>
        <w:t>沥青混合料级配组成及性能要求</w:t>
      </w:r>
    </w:p>
    <w:p w14:paraId="666666D8">
      <w:pPr>
        <w:keepNext w:val="0"/>
        <w:keepLines w:val="0"/>
        <w:pageBreakBefore w:val="0"/>
        <w:widowControl w:val="0"/>
        <w:kinsoku/>
        <w:wordWrap/>
        <w:overflowPunct/>
        <w:topLinePunct/>
        <w:autoSpaceDE/>
        <w:autoSpaceDN/>
        <w:bidi w:val="0"/>
        <w:adjustRightInd/>
        <w:snapToGrid/>
        <w:spacing w:line="360" w:lineRule="auto"/>
        <w:ind w:left="0"/>
        <w:jc w:val="left"/>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rPr>
        <w:t>①沥青混合料的级配</w:t>
      </w:r>
    </w:p>
    <w:p w14:paraId="37B2E5D3">
      <w:pPr>
        <w:keepNext w:val="0"/>
        <w:keepLines w:val="0"/>
        <w:pageBreakBefore w:val="0"/>
        <w:kinsoku/>
        <w:wordWrap/>
        <w:overflowPunct/>
        <w:topLinePunct/>
        <w:bidi w:val="0"/>
        <w:snapToGrid/>
        <w:spacing w:line="360" w:lineRule="auto"/>
        <w:ind w:firstLine="57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应用于本道路路面铺装沥青混合料的级配需满足下表的要求：</w:t>
      </w:r>
    </w:p>
    <w:p w14:paraId="4CCF4337">
      <w:pPr>
        <w:keepNext w:val="0"/>
        <w:keepLines w:val="0"/>
        <w:pageBreakBefore w:val="0"/>
        <w:kinsoku/>
        <w:wordWrap/>
        <w:overflowPunct/>
        <w:topLinePunct/>
        <w:bidi w:val="0"/>
        <w:snapToGrid/>
        <w:spacing w:line="360" w:lineRule="auto"/>
        <w:jc w:val="center"/>
        <w:textAlignment w:val="auto"/>
        <w:rPr>
          <w:rFonts w:hint="eastAsia" w:ascii="仿宋" w:hAnsi="仿宋" w:eastAsia="仿宋" w:cs="仿宋"/>
          <w:b/>
          <w:bCs/>
          <w:color w:val="auto"/>
          <w:sz w:val="24"/>
          <w:szCs w:val="24"/>
          <w:highlight w:val="none"/>
        </w:rPr>
      </w:pPr>
      <w:r>
        <w:rPr>
          <w:rFonts w:hint="eastAsia" w:ascii="仿宋" w:hAnsi="仿宋" w:eastAsia="仿宋" w:cs="仿宋"/>
          <w:b/>
          <w:bCs/>
          <w:color w:val="auto"/>
          <w:sz w:val="24"/>
          <w:szCs w:val="24"/>
          <w:highlight w:val="none"/>
        </w:rPr>
        <w:t>沥青混合料级配范围</w:t>
      </w:r>
    </w:p>
    <w:tbl>
      <w:tblPr>
        <w:tblStyle w:val="88"/>
        <w:tblW w:w="93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36"/>
        <w:gridCol w:w="2414"/>
        <w:gridCol w:w="2015"/>
        <w:gridCol w:w="1612"/>
      </w:tblGrid>
      <w:tr w14:paraId="74DF3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blHeader/>
          <w:jc w:val="center"/>
        </w:trPr>
        <w:tc>
          <w:tcPr>
            <w:tcW w:w="3336" w:type="dxa"/>
            <w:shd w:val="clear" w:color="auto" w:fill="C0C0C0"/>
            <w:noWrap w:val="0"/>
            <w:vAlign w:val="center"/>
          </w:tcPr>
          <w:p w14:paraId="74E9677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混合料类型</w:t>
            </w:r>
          </w:p>
        </w:tc>
        <w:tc>
          <w:tcPr>
            <w:tcW w:w="2414" w:type="dxa"/>
            <w:shd w:val="clear" w:color="auto" w:fill="C0C0C0"/>
            <w:noWrap w:val="0"/>
            <w:vAlign w:val="center"/>
          </w:tcPr>
          <w:p w14:paraId="491088A6">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SAM-13</w:t>
            </w:r>
          </w:p>
        </w:tc>
        <w:tc>
          <w:tcPr>
            <w:tcW w:w="2015" w:type="dxa"/>
            <w:tcBorders>
              <w:right w:val="single" w:color="auto" w:sz="6" w:space="0"/>
            </w:tcBorders>
            <w:shd w:val="clear" w:color="auto" w:fill="C0C0C0"/>
            <w:noWrap w:val="0"/>
            <w:vAlign w:val="center"/>
          </w:tcPr>
          <w:p w14:paraId="184FA7D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AC-20</w:t>
            </w:r>
          </w:p>
        </w:tc>
        <w:tc>
          <w:tcPr>
            <w:tcW w:w="1612" w:type="dxa"/>
            <w:tcBorders>
              <w:left w:val="single" w:color="auto" w:sz="6" w:space="0"/>
            </w:tcBorders>
            <w:shd w:val="clear" w:color="auto" w:fill="C0C0C0"/>
            <w:noWrap w:val="0"/>
            <w:vAlign w:val="center"/>
          </w:tcPr>
          <w:p w14:paraId="4D3C745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AC-25</w:t>
            </w:r>
          </w:p>
        </w:tc>
      </w:tr>
      <w:tr w14:paraId="1CE4B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5" w:hRule="atLeast"/>
          <w:jc w:val="center"/>
        </w:trPr>
        <w:tc>
          <w:tcPr>
            <w:tcW w:w="3336" w:type="dxa"/>
            <w:shd w:val="clear" w:color="auto" w:fill="C0C0C0"/>
            <w:noWrap w:val="0"/>
            <w:vAlign w:val="center"/>
          </w:tcPr>
          <w:p w14:paraId="6E7996A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筛孔（mm）</w:t>
            </w:r>
          </w:p>
        </w:tc>
        <w:tc>
          <w:tcPr>
            <w:tcW w:w="6041" w:type="dxa"/>
            <w:gridSpan w:val="3"/>
            <w:shd w:val="clear" w:color="auto" w:fill="C0C0C0"/>
            <w:noWrap w:val="0"/>
            <w:vAlign w:val="center"/>
          </w:tcPr>
          <w:p w14:paraId="2F794EA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通过率   %</w:t>
            </w:r>
          </w:p>
        </w:tc>
      </w:tr>
      <w:tr w14:paraId="6AA39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3336" w:type="dxa"/>
            <w:shd w:val="clear" w:color="auto" w:fill="C0C0C0"/>
            <w:noWrap w:val="0"/>
            <w:vAlign w:val="center"/>
          </w:tcPr>
          <w:p w14:paraId="13D17DE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31.5</w:t>
            </w:r>
          </w:p>
        </w:tc>
        <w:tc>
          <w:tcPr>
            <w:tcW w:w="2414" w:type="dxa"/>
            <w:noWrap w:val="0"/>
            <w:vAlign w:val="center"/>
          </w:tcPr>
          <w:p w14:paraId="1D81C5D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c>
          <w:tcPr>
            <w:tcW w:w="2015" w:type="dxa"/>
            <w:tcBorders>
              <w:right w:val="single" w:color="auto" w:sz="6" w:space="0"/>
            </w:tcBorders>
            <w:noWrap w:val="0"/>
            <w:vAlign w:val="center"/>
          </w:tcPr>
          <w:p w14:paraId="06FD9F90">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c>
          <w:tcPr>
            <w:tcW w:w="1612" w:type="dxa"/>
            <w:tcBorders>
              <w:left w:val="single" w:color="auto" w:sz="6" w:space="0"/>
            </w:tcBorders>
            <w:noWrap w:val="0"/>
            <w:vAlign w:val="center"/>
          </w:tcPr>
          <w:p w14:paraId="535AA2B1">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100</w:t>
            </w:r>
          </w:p>
        </w:tc>
      </w:tr>
      <w:tr w14:paraId="59374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3336" w:type="dxa"/>
            <w:shd w:val="clear" w:color="auto" w:fill="C0C0C0"/>
            <w:noWrap w:val="0"/>
            <w:vAlign w:val="center"/>
          </w:tcPr>
          <w:p w14:paraId="5CCDE8A0">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26.5</w:t>
            </w:r>
          </w:p>
        </w:tc>
        <w:tc>
          <w:tcPr>
            <w:tcW w:w="2414" w:type="dxa"/>
            <w:noWrap w:val="0"/>
            <w:vAlign w:val="center"/>
          </w:tcPr>
          <w:p w14:paraId="2A349C9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c>
          <w:tcPr>
            <w:tcW w:w="2015" w:type="dxa"/>
            <w:tcBorders>
              <w:right w:val="single" w:color="auto" w:sz="6" w:space="0"/>
            </w:tcBorders>
            <w:noWrap w:val="0"/>
            <w:vAlign w:val="center"/>
          </w:tcPr>
          <w:p w14:paraId="54C33F2B">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100</w:t>
            </w:r>
          </w:p>
        </w:tc>
        <w:tc>
          <w:tcPr>
            <w:tcW w:w="1612" w:type="dxa"/>
            <w:tcBorders>
              <w:left w:val="single" w:color="auto" w:sz="6" w:space="0"/>
            </w:tcBorders>
            <w:noWrap w:val="0"/>
            <w:vAlign w:val="center"/>
          </w:tcPr>
          <w:p w14:paraId="26A8963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90～100</w:t>
            </w:r>
          </w:p>
        </w:tc>
      </w:tr>
      <w:tr w14:paraId="15E313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3336" w:type="dxa"/>
            <w:shd w:val="clear" w:color="auto" w:fill="C0C0C0"/>
            <w:noWrap w:val="0"/>
            <w:vAlign w:val="center"/>
          </w:tcPr>
          <w:p w14:paraId="630C2F1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19.0</w:t>
            </w:r>
          </w:p>
        </w:tc>
        <w:tc>
          <w:tcPr>
            <w:tcW w:w="2414" w:type="dxa"/>
            <w:noWrap w:val="0"/>
            <w:vAlign w:val="center"/>
          </w:tcPr>
          <w:p w14:paraId="54A6BA1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c>
          <w:tcPr>
            <w:tcW w:w="2015" w:type="dxa"/>
            <w:tcBorders>
              <w:right w:val="single" w:color="auto" w:sz="6" w:space="0"/>
            </w:tcBorders>
            <w:noWrap w:val="0"/>
            <w:vAlign w:val="center"/>
          </w:tcPr>
          <w:p w14:paraId="41982454">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90～100</w:t>
            </w:r>
          </w:p>
        </w:tc>
        <w:tc>
          <w:tcPr>
            <w:tcW w:w="1612" w:type="dxa"/>
            <w:tcBorders>
              <w:left w:val="single" w:color="auto" w:sz="6" w:space="0"/>
            </w:tcBorders>
            <w:noWrap w:val="0"/>
            <w:vAlign w:val="center"/>
          </w:tcPr>
          <w:p w14:paraId="65296551">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75～90</w:t>
            </w:r>
          </w:p>
        </w:tc>
      </w:tr>
      <w:tr w14:paraId="3BA36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jc w:val="center"/>
        </w:trPr>
        <w:tc>
          <w:tcPr>
            <w:tcW w:w="3336" w:type="dxa"/>
            <w:shd w:val="clear" w:color="auto" w:fill="C0C0C0"/>
            <w:noWrap w:val="0"/>
            <w:vAlign w:val="center"/>
          </w:tcPr>
          <w:p w14:paraId="31E464B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16.0</w:t>
            </w:r>
          </w:p>
        </w:tc>
        <w:tc>
          <w:tcPr>
            <w:tcW w:w="2414" w:type="dxa"/>
            <w:noWrap w:val="0"/>
            <w:vAlign w:val="center"/>
          </w:tcPr>
          <w:p w14:paraId="1D917480">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100</w:t>
            </w:r>
          </w:p>
        </w:tc>
        <w:tc>
          <w:tcPr>
            <w:tcW w:w="2015" w:type="dxa"/>
            <w:tcBorders>
              <w:right w:val="single" w:color="auto" w:sz="6" w:space="0"/>
            </w:tcBorders>
            <w:noWrap w:val="0"/>
            <w:vAlign w:val="center"/>
          </w:tcPr>
          <w:p w14:paraId="08D346A5">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78～92</w:t>
            </w:r>
          </w:p>
        </w:tc>
        <w:tc>
          <w:tcPr>
            <w:tcW w:w="1612" w:type="dxa"/>
            <w:tcBorders>
              <w:left w:val="single" w:color="auto" w:sz="6" w:space="0"/>
            </w:tcBorders>
            <w:noWrap w:val="0"/>
            <w:vAlign w:val="center"/>
          </w:tcPr>
          <w:p w14:paraId="469FFAD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65～83</w:t>
            </w:r>
          </w:p>
        </w:tc>
      </w:tr>
      <w:tr w14:paraId="5A2B6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jc w:val="center"/>
        </w:trPr>
        <w:tc>
          <w:tcPr>
            <w:tcW w:w="3336" w:type="dxa"/>
            <w:shd w:val="clear" w:color="auto" w:fill="C0C0C0"/>
            <w:noWrap w:val="0"/>
            <w:vAlign w:val="center"/>
          </w:tcPr>
          <w:p w14:paraId="3ABB2E8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13.2</w:t>
            </w:r>
          </w:p>
        </w:tc>
        <w:tc>
          <w:tcPr>
            <w:tcW w:w="2414" w:type="dxa"/>
            <w:noWrap w:val="0"/>
            <w:vAlign w:val="center"/>
          </w:tcPr>
          <w:p w14:paraId="6A6F2C1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90～100</w:t>
            </w:r>
          </w:p>
        </w:tc>
        <w:tc>
          <w:tcPr>
            <w:tcW w:w="2015" w:type="dxa"/>
            <w:tcBorders>
              <w:right w:val="single" w:color="auto" w:sz="6" w:space="0"/>
            </w:tcBorders>
            <w:noWrap w:val="0"/>
            <w:vAlign w:val="center"/>
          </w:tcPr>
          <w:p w14:paraId="4BCCD47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62～80</w:t>
            </w:r>
          </w:p>
        </w:tc>
        <w:tc>
          <w:tcPr>
            <w:tcW w:w="1612" w:type="dxa"/>
            <w:tcBorders>
              <w:left w:val="single" w:color="auto" w:sz="6" w:space="0"/>
            </w:tcBorders>
            <w:noWrap w:val="0"/>
            <w:vAlign w:val="center"/>
          </w:tcPr>
          <w:p w14:paraId="5B10AE87">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57～76</w:t>
            </w:r>
          </w:p>
        </w:tc>
      </w:tr>
      <w:tr w14:paraId="4C216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jc w:val="center"/>
        </w:trPr>
        <w:tc>
          <w:tcPr>
            <w:tcW w:w="3336" w:type="dxa"/>
            <w:shd w:val="clear" w:color="auto" w:fill="C0C0C0"/>
            <w:noWrap w:val="0"/>
            <w:vAlign w:val="center"/>
          </w:tcPr>
          <w:p w14:paraId="4A35604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9.5</w:t>
            </w:r>
          </w:p>
        </w:tc>
        <w:tc>
          <w:tcPr>
            <w:tcW w:w="2414" w:type="dxa"/>
            <w:noWrap w:val="0"/>
            <w:vAlign w:val="center"/>
          </w:tcPr>
          <w:p w14:paraId="37061DA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50～75</w:t>
            </w:r>
          </w:p>
        </w:tc>
        <w:tc>
          <w:tcPr>
            <w:tcW w:w="2015" w:type="dxa"/>
            <w:tcBorders>
              <w:right w:val="single" w:color="auto" w:sz="6" w:space="0"/>
            </w:tcBorders>
            <w:noWrap w:val="0"/>
            <w:vAlign w:val="center"/>
          </w:tcPr>
          <w:p w14:paraId="6CD2EE4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50～72</w:t>
            </w:r>
          </w:p>
        </w:tc>
        <w:tc>
          <w:tcPr>
            <w:tcW w:w="1612" w:type="dxa"/>
            <w:tcBorders>
              <w:left w:val="single" w:color="auto" w:sz="6" w:space="0"/>
            </w:tcBorders>
            <w:noWrap w:val="0"/>
            <w:vAlign w:val="center"/>
          </w:tcPr>
          <w:p w14:paraId="1142A6B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45～65</w:t>
            </w:r>
          </w:p>
        </w:tc>
      </w:tr>
      <w:tr w14:paraId="0276C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3336" w:type="dxa"/>
            <w:shd w:val="clear" w:color="auto" w:fill="C0C0C0"/>
            <w:noWrap w:val="0"/>
            <w:vAlign w:val="center"/>
          </w:tcPr>
          <w:p w14:paraId="4E52185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4.75</w:t>
            </w:r>
          </w:p>
        </w:tc>
        <w:tc>
          <w:tcPr>
            <w:tcW w:w="2414" w:type="dxa"/>
            <w:noWrap w:val="0"/>
            <w:vAlign w:val="center"/>
          </w:tcPr>
          <w:p w14:paraId="7DD21C4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20～34</w:t>
            </w:r>
          </w:p>
        </w:tc>
        <w:tc>
          <w:tcPr>
            <w:tcW w:w="2015" w:type="dxa"/>
            <w:tcBorders>
              <w:right w:val="single" w:color="auto" w:sz="6" w:space="0"/>
            </w:tcBorders>
            <w:noWrap w:val="0"/>
            <w:vAlign w:val="center"/>
          </w:tcPr>
          <w:p w14:paraId="703853E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26～56</w:t>
            </w:r>
          </w:p>
        </w:tc>
        <w:tc>
          <w:tcPr>
            <w:tcW w:w="1612" w:type="dxa"/>
            <w:tcBorders>
              <w:left w:val="single" w:color="auto" w:sz="6" w:space="0"/>
            </w:tcBorders>
            <w:noWrap w:val="0"/>
            <w:vAlign w:val="center"/>
          </w:tcPr>
          <w:p w14:paraId="240C32C4">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24～52</w:t>
            </w:r>
          </w:p>
        </w:tc>
      </w:tr>
      <w:tr w14:paraId="1F783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3336" w:type="dxa"/>
            <w:shd w:val="clear" w:color="auto" w:fill="C0C0C0"/>
            <w:noWrap w:val="0"/>
            <w:vAlign w:val="center"/>
          </w:tcPr>
          <w:p w14:paraId="530E5371">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2.36</w:t>
            </w:r>
          </w:p>
        </w:tc>
        <w:tc>
          <w:tcPr>
            <w:tcW w:w="2414" w:type="dxa"/>
            <w:noWrap w:val="0"/>
            <w:vAlign w:val="center"/>
          </w:tcPr>
          <w:p w14:paraId="4F8A36A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15～26</w:t>
            </w:r>
          </w:p>
        </w:tc>
        <w:tc>
          <w:tcPr>
            <w:tcW w:w="2015" w:type="dxa"/>
            <w:tcBorders>
              <w:right w:val="single" w:color="auto" w:sz="6" w:space="0"/>
            </w:tcBorders>
            <w:noWrap w:val="0"/>
            <w:vAlign w:val="center"/>
          </w:tcPr>
          <w:p w14:paraId="44A2DD2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16～44</w:t>
            </w:r>
          </w:p>
        </w:tc>
        <w:tc>
          <w:tcPr>
            <w:tcW w:w="1612" w:type="dxa"/>
            <w:tcBorders>
              <w:left w:val="single" w:color="auto" w:sz="6" w:space="0"/>
            </w:tcBorders>
            <w:noWrap w:val="0"/>
            <w:vAlign w:val="center"/>
          </w:tcPr>
          <w:p w14:paraId="41F88746">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16～42</w:t>
            </w:r>
          </w:p>
        </w:tc>
      </w:tr>
      <w:tr w14:paraId="56C70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3336" w:type="dxa"/>
            <w:shd w:val="clear" w:color="auto" w:fill="C0C0C0"/>
            <w:noWrap w:val="0"/>
            <w:vAlign w:val="center"/>
          </w:tcPr>
          <w:p w14:paraId="32F1BE3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1.18</w:t>
            </w:r>
          </w:p>
        </w:tc>
        <w:tc>
          <w:tcPr>
            <w:tcW w:w="2414" w:type="dxa"/>
            <w:noWrap w:val="0"/>
            <w:vAlign w:val="center"/>
          </w:tcPr>
          <w:p w14:paraId="122B8D84">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14～24</w:t>
            </w:r>
          </w:p>
        </w:tc>
        <w:tc>
          <w:tcPr>
            <w:tcW w:w="2015" w:type="dxa"/>
            <w:tcBorders>
              <w:right w:val="single" w:color="auto" w:sz="6" w:space="0"/>
            </w:tcBorders>
            <w:noWrap w:val="0"/>
            <w:vAlign w:val="center"/>
          </w:tcPr>
          <w:p w14:paraId="0F4EFD7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12～33</w:t>
            </w:r>
          </w:p>
        </w:tc>
        <w:tc>
          <w:tcPr>
            <w:tcW w:w="1612" w:type="dxa"/>
            <w:tcBorders>
              <w:left w:val="single" w:color="auto" w:sz="6" w:space="0"/>
            </w:tcBorders>
            <w:noWrap w:val="0"/>
            <w:vAlign w:val="center"/>
          </w:tcPr>
          <w:p w14:paraId="6223EEC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12～33</w:t>
            </w:r>
          </w:p>
        </w:tc>
      </w:tr>
      <w:tr w14:paraId="13EC1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3336" w:type="dxa"/>
            <w:shd w:val="clear" w:color="auto" w:fill="C0C0C0"/>
            <w:noWrap w:val="0"/>
            <w:vAlign w:val="center"/>
          </w:tcPr>
          <w:p w14:paraId="03EAEEB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0.6</w:t>
            </w:r>
          </w:p>
        </w:tc>
        <w:tc>
          <w:tcPr>
            <w:tcW w:w="2414" w:type="dxa"/>
            <w:noWrap w:val="0"/>
            <w:vAlign w:val="center"/>
          </w:tcPr>
          <w:p w14:paraId="62BBE397">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12～20</w:t>
            </w:r>
          </w:p>
        </w:tc>
        <w:tc>
          <w:tcPr>
            <w:tcW w:w="2015" w:type="dxa"/>
            <w:tcBorders>
              <w:right w:val="single" w:color="auto" w:sz="6" w:space="0"/>
            </w:tcBorders>
            <w:noWrap w:val="0"/>
            <w:vAlign w:val="center"/>
          </w:tcPr>
          <w:p w14:paraId="2FCD1A14">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8～24</w:t>
            </w:r>
          </w:p>
        </w:tc>
        <w:tc>
          <w:tcPr>
            <w:tcW w:w="1612" w:type="dxa"/>
            <w:tcBorders>
              <w:left w:val="single" w:color="auto" w:sz="6" w:space="0"/>
            </w:tcBorders>
            <w:noWrap w:val="0"/>
            <w:vAlign w:val="center"/>
          </w:tcPr>
          <w:p w14:paraId="36092461">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8～24</w:t>
            </w:r>
          </w:p>
        </w:tc>
      </w:tr>
      <w:tr w14:paraId="0B06B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jc w:val="center"/>
        </w:trPr>
        <w:tc>
          <w:tcPr>
            <w:tcW w:w="3336" w:type="dxa"/>
            <w:shd w:val="clear" w:color="auto" w:fill="C0C0C0"/>
            <w:noWrap w:val="0"/>
            <w:vAlign w:val="center"/>
          </w:tcPr>
          <w:p w14:paraId="58096F6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0.3</w:t>
            </w:r>
          </w:p>
        </w:tc>
        <w:tc>
          <w:tcPr>
            <w:tcW w:w="2414" w:type="dxa"/>
            <w:noWrap w:val="0"/>
            <w:vAlign w:val="center"/>
          </w:tcPr>
          <w:p w14:paraId="33DE50C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10～16</w:t>
            </w:r>
          </w:p>
        </w:tc>
        <w:tc>
          <w:tcPr>
            <w:tcW w:w="2015" w:type="dxa"/>
            <w:tcBorders>
              <w:right w:val="single" w:color="auto" w:sz="6" w:space="0"/>
            </w:tcBorders>
            <w:noWrap w:val="0"/>
            <w:vAlign w:val="center"/>
          </w:tcPr>
          <w:p w14:paraId="270C743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5～17</w:t>
            </w:r>
          </w:p>
        </w:tc>
        <w:tc>
          <w:tcPr>
            <w:tcW w:w="1612" w:type="dxa"/>
            <w:tcBorders>
              <w:left w:val="single" w:color="auto" w:sz="6" w:space="0"/>
            </w:tcBorders>
            <w:noWrap w:val="0"/>
            <w:vAlign w:val="center"/>
          </w:tcPr>
          <w:p w14:paraId="3AD30A70">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5～17</w:t>
            </w:r>
          </w:p>
        </w:tc>
      </w:tr>
      <w:tr w14:paraId="1E43D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9" w:hRule="atLeast"/>
          <w:jc w:val="center"/>
        </w:trPr>
        <w:tc>
          <w:tcPr>
            <w:tcW w:w="3336" w:type="dxa"/>
            <w:shd w:val="clear" w:color="auto" w:fill="C0C0C0"/>
            <w:noWrap w:val="0"/>
            <w:vAlign w:val="center"/>
          </w:tcPr>
          <w:p w14:paraId="5FCEBE9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0.15</w:t>
            </w:r>
          </w:p>
        </w:tc>
        <w:tc>
          <w:tcPr>
            <w:tcW w:w="2414" w:type="dxa"/>
            <w:noWrap w:val="0"/>
            <w:vAlign w:val="center"/>
          </w:tcPr>
          <w:p w14:paraId="26360F2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9～15</w:t>
            </w:r>
          </w:p>
        </w:tc>
        <w:tc>
          <w:tcPr>
            <w:tcW w:w="2015" w:type="dxa"/>
            <w:tcBorders>
              <w:right w:val="single" w:color="auto" w:sz="6" w:space="0"/>
            </w:tcBorders>
            <w:noWrap w:val="0"/>
            <w:vAlign w:val="center"/>
          </w:tcPr>
          <w:p w14:paraId="7E1CDFA0">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4～13</w:t>
            </w:r>
          </w:p>
        </w:tc>
        <w:tc>
          <w:tcPr>
            <w:tcW w:w="1612" w:type="dxa"/>
            <w:tcBorders>
              <w:left w:val="single" w:color="auto" w:sz="6" w:space="0"/>
            </w:tcBorders>
            <w:noWrap w:val="0"/>
            <w:vAlign w:val="center"/>
          </w:tcPr>
          <w:p w14:paraId="4B14DE2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4～13</w:t>
            </w:r>
          </w:p>
        </w:tc>
      </w:tr>
      <w:tr w14:paraId="71239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jc w:val="center"/>
        </w:trPr>
        <w:tc>
          <w:tcPr>
            <w:tcW w:w="3336" w:type="dxa"/>
            <w:shd w:val="clear" w:color="auto" w:fill="C0C0C0"/>
            <w:noWrap w:val="0"/>
            <w:vAlign w:val="center"/>
          </w:tcPr>
          <w:p w14:paraId="74BA35B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0.075</w:t>
            </w:r>
          </w:p>
        </w:tc>
        <w:tc>
          <w:tcPr>
            <w:tcW w:w="2414" w:type="dxa"/>
            <w:noWrap w:val="0"/>
            <w:vAlign w:val="center"/>
          </w:tcPr>
          <w:p w14:paraId="37BAEC9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8～12</w:t>
            </w:r>
          </w:p>
        </w:tc>
        <w:tc>
          <w:tcPr>
            <w:tcW w:w="2015" w:type="dxa"/>
            <w:tcBorders>
              <w:right w:val="single" w:color="auto" w:sz="6" w:space="0"/>
            </w:tcBorders>
            <w:noWrap w:val="0"/>
            <w:vAlign w:val="center"/>
          </w:tcPr>
          <w:p w14:paraId="20576A1B">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3～7</w:t>
            </w:r>
          </w:p>
        </w:tc>
        <w:tc>
          <w:tcPr>
            <w:tcW w:w="1612" w:type="dxa"/>
            <w:tcBorders>
              <w:left w:val="single" w:color="auto" w:sz="6" w:space="0"/>
            </w:tcBorders>
            <w:noWrap w:val="0"/>
            <w:vAlign w:val="center"/>
          </w:tcPr>
          <w:p w14:paraId="6BC1001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3～7</w:t>
            </w:r>
          </w:p>
        </w:tc>
      </w:tr>
    </w:tbl>
    <w:p w14:paraId="2D735B5C">
      <w:pPr>
        <w:keepNext w:val="0"/>
        <w:keepLines w:val="0"/>
        <w:pageBreakBefore w:val="0"/>
        <w:kinsoku/>
        <w:wordWrap/>
        <w:overflowPunct/>
        <w:topLinePunct/>
        <w:bidi w:val="0"/>
        <w:snapToGrid/>
        <w:spacing w:line="360" w:lineRule="auto"/>
        <w:ind w:firstLine="482" w:firstLineChars="200"/>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rPr>
        <w:t>②混合料性能要求</w:t>
      </w:r>
    </w:p>
    <w:p w14:paraId="15813424">
      <w:pPr>
        <w:keepNext w:val="0"/>
        <w:keepLines w:val="0"/>
        <w:pageBreakBefore w:val="0"/>
        <w:kinsoku/>
        <w:wordWrap/>
        <w:overflowPunct/>
        <w:topLinePunct/>
        <w:bidi w:val="0"/>
        <w:snapToGrid/>
        <w:spacing w:line="360" w:lineRule="auto"/>
        <w:ind w:firstLine="57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密级配沥青混凝土沥青混合料性能应满足下表所列要求：</w:t>
      </w:r>
      <w:r>
        <w:rPr>
          <w:rFonts w:hint="eastAsia" w:ascii="仿宋" w:hAnsi="仿宋" w:eastAsia="仿宋" w:cs="仿宋"/>
          <w:color w:val="auto"/>
          <w:sz w:val="24"/>
          <w:szCs w:val="24"/>
          <w:highlight w:val="none"/>
        </w:rPr>
        <w:tab/>
      </w:r>
    </w:p>
    <w:p w14:paraId="0E4E0E2E">
      <w:pPr>
        <w:keepNext w:val="0"/>
        <w:keepLines w:val="0"/>
        <w:pageBreakBefore w:val="0"/>
        <w:kinsoku/>
        <w:wordWrap/>
        <w:overflowPunct/>
        <w:topLinePunct/>
        <w:bidi w:val="0"/>
        <w:snapToGrid/>
        <w:spacing w:line="360" w:lineRule="auto"/>
        <w:jc w:val="center"/>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rPr>
        <w:t>SMA混合料马歇尔试验配合比设计技术要求</w:t>
      </w:r>
    </w:p>
    <w:tbl>
      <w:tblPr>
        <w:tblStyle w:val="88"/>
        <w:tblW w:w="93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08"/>
        <w:gridCol w:w="2880"/>
        <w:gridCol w:w="1834"/>
      </w:tblGrid>
      <w:tr w14:paraId="744A5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blHeader/>
          <w:jc w:val="center"/>
        </w:trPr>
        <w:tc>
          <w:tcPr>
            <w:tcW w:w="4608" w:type="dxa"/>
            <w:shd w:val="clear" w:color="auto" w:fill="C0C0C0"/>
            <w:noWrap w:val="0"/>
            <w:vAlign w:val="center"/>
          </w:tcPr>
          <w:p w14:paraId="731AA40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试验项目</w:t>
            </w:r>
          </w:p>
        </w:tc>
        <w:tc>
          <w:tcPr>
            <w:tcW w:w="2880" w:type="dxa"/>
            <w:shd w:val="clear" w:color="auto" w:fill="C0C0C0"/>
            <w:noWrap w:val="0"/>
            <w:vAlign w:val="center"/>
          </w:tcPr>
          <w:p w14:paraId="1FE7DE31">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技术要求</w:t>
            </w:r>
          </w:p>
        </w:tc>
        <w:tc>
          <w:tcPr>
            <w:tcW w:w="1834" w:type="dxa"/>
            <w:shd w:val="clear" w:color="auto" w:fill="C0C0C0"/>
            <w:noWrap w:val="0"/>
            <w:vAlign w:val="center"/>
          </w:tcPr>
          <w:p w14:paraId="26178F1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试验方法</w:t>
            </w:r>
          </w:p>
        </w:tc>
      </w:tr>
      <w:tr w14:paraId="6DEE6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4608" w:type="dxa"/>
            <w:shd w:val="clear" w:color="auto" w:fill="C0C0C0"/>
            <w:noWrap w:val="0"/>
            <w:vAlign w:val="center"/>
          </w:tcPr>
          <w:p w14:paraId="4291B424">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马歇尔试件尺寸 mm</w:t>
            </w:r>
          </w:p>
        </w:tc>
        <w:tc>
          <w:tcPr>
            <w:tcW w:w="2880" w:type="dxa"/>
            <w:noWrap w:val="0"/>
            <w:vAlign w:val="center"/>
          </w:tcPr>
          <w:p w14:paraId="36770D2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ф101.3mm×63.5mm</w:t>
            </w:r>
          </w:p>
        </w:tc>
        <w:tc>
          <w:tcPr>
            <w:tcW w:w="1834" w:type="dxa"/>
            <w:noWrap w:val="0"/>
            <w:vAlign w:val="center"/>
          </w:tcPr>
          <w:p w14:paraId="0D145366">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0702</w:t>
            </w:r>
          </w:p>
        </w:tc>
      </w:tr>
      <w:tr w14:paraId="64DF1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4608" w:type="dxa"/>
            <w:shd w:val="clear" w:color="auto" w:fill="C0C0C0"/>
            <w:noWrap w:val="0"/>
            <w:vAlign w:val="center"/>
          </w:tcPr>
          <w:p w14:paraId="4C960EAE">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rPr>
              <w:t>马歇尔试件</w:t>
            </w:r>
            <w:r>
              <w:rPr>
                <w:rFonts w:hint="eastAsia" w:ascii="仿宋" w:hAnsi="仿宋" w:eastAsia="仿宋" w:cs="仿宋"/>
                <w:color w:val="auto"/>
                <w:sz w:val="24"/>
                <w:szCs w:val="24"/>
                <w:highlight w:val="none"/>
                <w:lang w:val="fr-FR"/>
              </w:rPr>
              <w:t>击实次数 次</w:t>
            </w:r>
          </w:p>
        </w:tc>
        <w:tc>
          <w:tcPr>
            <w:tcW w:w="2880" w:type="dxa"/>
            <w:noWrap w:val="0"/>
            <w:vAlign w:val="center"/>
          </w:tcPr>
          <w:p w14:paraId="61AC592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两面击实50次</w:t>
            </w:r>
          </w:p>
        </w:tc>
        <w:tc>
          <w:tcPr>
            <w:tcW w:w="1834" w:type="dxa"/>
            <w:noWrap w:val="0"/>
            <w:vAlign w:val="center"/>
          </w:tcPr>
          <w:p w14:paraId="5D00B66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rPr>
              <w:t>T 0702</w:t>
            </w:r>
          </w:p>
        </w:tc>
      </w:tr>
      <w:tr w14:paraId="2C01E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4608" w:type="dxa"/>
            <w:shd w:val="clear" w:color="auto" w:fill="C0C0C0"/>
            <w:noWrap w:val="0"/>
            <w:vAlign w:val="center"/>
          </w:tcPr>
          <w:p w14:paraId="4144E4D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fr-FR"/>
              </w:rPr>
              <w:t>空隙率</w:t>
            </w:r>
            <w:r>
              <w:rPr>
                <w:rFonts w:hint="eastAsia" w:ascii="仿宋" w:hAnsi="仿宋" w:eastAsia="仿宋" w:cs="仿宋"/>
                <w:color w:val="auto"/>
                <w:sz w:val="24"/>
                <w:szCs w:val="24"/>
                <w:highlight w:val="none"/>
              </w:rPr>
              <w:t>VV  %</w:t>
            </w:r>
          </w:p>
        </w:tc>
        <w:tc>
          <w:tcPr>
            <w:tcW w:w="2880" w:type="dxa"/>
            <w:noWrap w:val="0"/>
            <w:vAlign w:val="center"/>
          </w:tcPr>
          <w:p w14:paraId="45A744D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3～4</w:t>
            </w:r>
          </w:p>
        </w:tc>
        <w:tc>
          <w:tcPr>
            <w:tcW w:w="1834" w:type="dxa"/>
            <w:noWrap w:val="0"/>
            <w:vAlign w:val="center"/>
          </w:tcPr>
          <w:p w14:paraId="5A4B075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0708</w:t>
            </w:r>
          </w:p>
        </w:tc>
      </w:tr>
      <w:tr w14:paraId="5B8B9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4608" w:type="dxa"/>
            <w:shd w:val="clear" w:color="auto" w:fill="C0C0C0"/>
            <w:noWrap w:val="0"/>
            <w:vAlign w:val="center"/>
          </w:tcPr>
          <w:p w14:paraId="7B22D6E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矿料间隙率 VMA  %</w:t>
            </w:r>
          </w:p>
        </w:tc>
        <w:tc>
          <w:tcPr>
            <w:tcW w:w="2880" w:type="dxa"/>
            <w:noWrap w:val="0"/>
            <w:vAlign w:val="center"/>
          </w:tcPr>
          <w:p w14:paraId="5CA2CFF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rPr>
              <w:t>≥17.0</w:t>
            </w:r>
          </w:p>
        </w:tc>
        <w:tc>
          <w:tcPr>
            <w:tcW w:w="1834" w:type="dxa"/>
            <w:noWrap w:val="0"/>
            <w:vAlign w:val="center"/>
          </w:tcPr>
          <w:p w14:paraId="6CA2162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0708</w:t>
            </w:r>
          </w:p>
        </w:tc>
      </w:tr>
      <w:tr w14:paraId="7E4E3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4608" w:type="dxa"/>
            <w:tcBorders>
              <w:bottom w:val="single" w:color="auto" w:sz="4" w:space="0"/>
            </w:tcBorders>
            <w:shd w:val="clear" w:color="auto" w:fill="C0C0C0"/>
            <w:noWrap w:val="0"/>
            <w:vAlign w:val="center"/>
          </w:tcPr>
          <w:p w14:paraId="0CD728A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fr-FR"/>
              </w:rPr>
              <w:t>粗集料骨架间隙率 VCAmin</w:t>
            </w:r>
          </w:p>
        </w:tc>
        <w:tc>
          <w:tcPr>
            <w:tcW w:w="2880" w:type="dxa"/>
            <w:noWrap w:val="0"/>
            <w:vAlign w:val="center"/>
          </w:tcPr>
          <w:p w14:paraId="4BEFA7B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VCA</w:t>
            </w:r>
            <w:r>
              <w:rPr>
                <w:rFonts w:hint="eastAsia" w:ascii="仿宋" w:hAnsi="仿宋" w:eastAsia="仿宋" w:cs="仿宋"/>
                <w:color w:val="auto"/>
                <w:sz w:val="24"/>
                <w:szCs w:val="24"/>
                <w:highlight w:val="none"/>
                <w:vertAlign w:val="subscript"/>
                <w:lang w:val="fr-FR"/>
              </w:rPr>
              <w:t>DRC</w:t>
            </w:r>
          </w:p>
        </w:tc>
        <w:tc>
          <w:tcPr>
            <w:tcW w:w="1834" w:type="dxa"/>
            <w:noWrap w:val="0"/>
            <w:vAlign w:val="center"/>
          </w:tcPr>
          <w:p w14:paraId="789CCC2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0708</w:t>
            </w:r>
          </w:p>
        </w:tc>
      </w:tr>
      <w:tr w14:paraId="79692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4608" w:type="dxa"/>
            <w:shd w:val="clear" w:color="auto" w:fill="C0C0C0"/>
            <w:noWrap w:val="0"/>
            <w:vAlign w:val="center"/>
          </w:tcPr>
          <w:p w14:paraId="2F559A01">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沥青饱和度 VFA  %</w:t>
            </w:r>
          </w:p>
        </w:tc>
        <w:tc>
          <w:tcPr>
            <w:tcW w:w="2880" w:type="dxa"/>
            <w:noWrap w:val="0"/>
            <w:vAlign w:val="center"/>
          </w:tcPr>
          <w:p w14:paraId="4A3618C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75～85</w:t>
            </w:r>
          </w:p>
        </w:tc>
        <w:tc>
          <w:tcPr>
            <w:tcW w:w="1834" w:type="dxa"/>
            <w:noWrap w:val="0"/>
            <w:vAlign w:val="center"/>
          </w:tcPr>
          <w:p w14:paraId="58534CD1">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0708</w:t>
            </w:r>
          </w:p>
        </w:tc>
      </w:tr>
      <w:tr w14:paraId="4EEC8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4608" w:type="dxa"/>
            <w:shd w:val="clear" w:color="auto" w:fill="C0C0C0"/>
            <w:noWrap w:val="0"/>
            <w:vAlign w:val="center"/>
          </w:tcPr>
          <w:p w14:paraId="41CE224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稳定度 KN</w:t>
            </w:r>
          </w:p>
        </w:tc>
        <w:tc>
          <w:tcPr>
            <w:tcW w:w="2880" w:type="dxa"/>
            <w:noWrap w:val="0"/>
            <w:vAlign w:val="center"/>
          </w:tcPr>
          <w:p w14:paraId="374D59E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≥6.0</w:t>
            </w:r>
          </w:p>
        </w:tc>
        <w:tc>
          <w:tcPr>
            <w:tcW w:w="1834" w:type="dxa"/>
            <w:noWrap w:val="0"/>
            <w:vAlign w:val="center"/>
          </w:tcPr>
          <w:p w14:paraId="41076ED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0709</w:t>
            </w:r>
          </w:p>
        </w:tc>
      </w:tr>
      <w:tr w14:paraId="631D82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4608" w:type="dxa"/>
            <w:shd w:val="clear" w:color="auto" w:fill="C0C0C0"/>
            <w:noWrap w:val="0"/>
            <w:vAlign w:val="center"/>
          </w:tcPr>
          <w:p w14:paraId="5C336F3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流值 mm</w:t>
            </w:r>
          </w:p>
        </w:tc>
        <w:tc>
          <w:tcPr>
            <w:tcW w:w="2880" w:type="dxa"/>
            <w:noWrap w:val="0"/>
            <w:vAlign w:val="center"/>
          </w:tcPr>
          <w:p w14:paraId="7A498AE1">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2～5</w:t>
            </w:r>
          </w:p>
        </w:tc>
        <w:tc>
          <w:tcPr>
            <w:tcW w:w="1834" w:type="dxa"/>
            <w:noWrap w:val="0"/>
            <w:vAlign w:val="center"/>
          </w:tcPr>
          <w:p w14:paraId="10DAA70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0709</w:t>
            </w:r>
          </w:p>
        </w:tc>
      </w:tr>
      <w:tr w14:paraId="6A610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4608" w:type="dxa"/>
            <w:shd w:val="clear" w:color="auto" w:fill="C0C0C0"/>
            <w:noWrap w:val="0"/>
            <w:vAlign w:val="center"/>
          </w:tcPr>
          <w:p w14:paraId="52C39DA0">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谢伦堡沥青析漏试验的结合料损失 %</w:t>
            </w:r>
          </w:p>
        </w:tc>
        <w:tc>
          <w:tcPr>
            <w:tcW w:w="2880" w:type="dxa"/>
            <w:noWrap w:val="0"/>
            <w:vAlign w:val="center"/>
          </w:tcPr>
          <w:p w14:paraId="5D24138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不大于0.1</w:t>
            </w:r>
          </w:p>
        </w:tc>
        <w:tc>
          <w:tcPr>
            <w:tcW w:w="1834" w:type="dxa"/>
            <w:noWrap w:val="0"/>
            <w:vAlign w:val="center"/>
          </w:tcPr>
          <w:p w14:paraId="66DF81C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0732</w:t>
            </w:r>
          </w:p>
        </w:tc>
      </w:tr>
      <w:tr w14:paraId="2083A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4608" w:type="dxa"/>
            <w:shd w:val="clear" w:color="auto" w:fill="C0C0C0"/>
            <w:noWrap w:val="0"/>
            <w:vAlign w:val="center"/>
          </w:tcPr>
          <w:p w14:paraId="25BB9390">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肯塔堡飞散试验的混合料损失</w:t>
            </w:r>
          </w:p>
          <w:p w14:paraId="1221E4B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fr-FR"/>
              </w:rPr>
              <w:t>或浸水飞散试验  %</w:t>
            </w:r>
          </w:p>
        </w:tc>
        <w:tc>
          <w:tcPr>
            <w:tcW w:w="2880" w:type="dxa"/>
            <w:noWrap w:val="0"/>
            <w:vAlign w:val="center"/>
          </w:tcPr>
          <w:p w14:paraId="7242F95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不大于15</w:t>
            </w:r>
          </w:p>
        </w:tc>
        <w:tc>
          <w:tcPr>
            <w:tcW w:w="1834" w:type="dxa"/>
            <w:noWrap w:val="0"/>
            <w:vAlign w:val="center"/>
          </w:tcPr>
          <w:p w14:paraId="16EB6E30">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T 0733</w:t>
            </w:r>
          </w:p>
        </w:tc>
      </w:tr>
    </w:tbl>
    <w:p w14:paraId="377BCE0C">
      <w:pPr>
        <w:keepNext w:val="0"/>
        <w:keepLines w:val="0"/>
        <w:pageBreakBefore w:val="0"/>
        <w:kinsoku/>
        <w:wordWrap/>
        <w:overflowPunct/>
        <w:topLinePunct/>
        <w:bidi w:val="0"/>
        <w:snapToGrid/>
        <w:spacing w:line="360" w:lineRule="auto"/>
        <w:jc w:val="center"/>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rPr>
        <w:t>密集配沥青混凝土混合料马歇尔试验技术标准</w:t>
      </w:r>
    </w:p>
    <w:tbl>
      <w:tblPr>
        <w:tblStyle w:val="88"/>
        <w:tblW w:w="93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82"/>
        <w:gridCol w:w="2126"/>
        <w:gridCol w:w="795"/>
        <w:gridCol w:w="3451"/>
      </w:tblGrid>
      <w:tr w14:paraId="08F07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blHeader/>
          <w:jc w:val="center"/>
        </w:trPr>
        <w:tc>
          <w:tcPr>
            <w:tcW w:w="5108" w:type="dxa"/>
            <w:gridSpan w:val="2"/>
            <w:shd w:val="clear" w:color="auto" w:fill="C0C0C0"/>
            <w:noWrap w:val="0"/>
            <w:vAlign w:val="center"/>
          </w:tcPr>
          <w:p w14:paraId="6C6717B7">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试验项目</w:t>
            </w:r>
          </w:p>
        </w:tc>
        <w:tc>
          <w:tcPr>
            <w:tcW w:w="795" w:type="dxa"/>
            <w:shd w:val="clear" w:color="auto" w:fill="C0C0C0"/>
            <w:noWrap w:val="0"/>
            <w:vAlign w:val="center"/>
          </w:tcPr>
          <w:p w14:paraId="6EFD3E0B">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单位</w:t>
            </w:r>
          </w:p>
        </w:tc>
        <w:tc>
          <w:tcPr>
            <w:tcW w:w="3451" w:type="dxa"/>
            <w:shd w:val="clear" w:color="auto" w:fill="C0C0C0"/>
            <w:noWrap w:val="0"/>
            <w:vAlign w:val="center"/>
          </w:tcPr>
          <w:p w14:paraId="5E5C998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技术要求</w:t>
            </w:r>
          </w:p>
        </w:tc>
      </w:tr>
      <w:tr w14:paraId="56A46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5108" w:type="dxa"/>
            <w:gridSpan w:val="2"/>
            <w:shd w:val="clear" w:color="auto" w:fill="C0C0C0"/>
            <w:noWrap w:val="0"/>
            <w:vAlign w:val="center"/>
          </w:tcPr>
          <w:p w14:paraId="3D08CF3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击实次数（双面）</w:t>
            </w:r>
          </w:p>
        </w:tc>
        <w:tc>
          <w:tcPr>
            <w:tcW w:w="795" w:type="dxa"/>
            <w:shd w:val="clear" w:color="auto" w:fill="C0C0C0"/>
            <w:noWrap w:val="0"/>
            <w:vAlign w:val="center"/>
          </w:tcPr>
          <w:p w14:paraId="2D61034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次</w:t>
            </w:r>
          </w:p>
        </w:tc>
        <w:tc>
          <w:tcPr>
            <w:tcW w:w="3451" w:type="dxa"/>
            <w:noWrap w:val="0"/>
            <w:vAlign w:val="center"/>
          </w:tcPr>
          <w:p w14:paraId="40D8787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75</w:t>
            </w:r>
          </w:p>
        </w:tc>
      </w:tr>
      <w:tr w14:paraId="6D439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5108" w:type="dxa"/>
            <w:gridSpan w:val="2"/>
            <w:shd w:val="clear" w:color="auto" w:fill="C0C0C0"/>
            <w:noWrap w:val="0"/>
            <w:vAlign w:val="center"/>
          </w:tcPr>
          <w:p w14:paraId="2E330E3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rPr>
              <w:t>试件尺寸</w:t>
            </w:r>
          </w:p>
        </w:tc>
        <w:tc>
          <w:tcPr>
            <w:tcW w:w="795" w:type="dxa"/>
            <w:shd w:val="clear" w:color="auto" w:fill="C0C0C0"/>
            <w:noWrap w:val="0"/>
            <w:vAlign w:val="center"/>
          </w:tcPr>
          <w:p w14:paraId="32F4EA50">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mm</w:t>
            </w:r>
          </w:p>
        </w:tc>
        <w:tc>
          <w:tcPr>
            <w:tcW w:w="3451" w:type="dxa"/>
            <w:noWrap w:val="0"/>
            <w:vAlign w:val="center"/>
          </w:tcPr>
          <w:p w14:paraId="1C687227">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rPr>
              <w:t>ф101.6mm×63.5mm</w:t>
            </w:r>
          </w:p>
        </w:tc>
      </w:tr>
      <w:tr w14:paraId="0BFD8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2982" w:type="dxa"/>
            <w:vMerge w:val="restart"/>
            <w:shd w:val="clear" w:color="auto" w:fill="C0C0C0"/>
            <w:noWrap w:val="0"/>
            <w:vAlign w:val="center"/>
          </w:tcPr>
          <w:p w14:paraId="2712D155">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fr-FR"/>
              </w:rPr>
              <w:t>空隙率</w:t>
            </w:r>
            <w:r>
              <w:rPr>
                <w:rFonts w:hint="eastAsia" w:ascii="仿宋" w:hAnsi="仿宋" w:eastAsia="仿宋" w:cs="仿宋"/>
                <w:color w:val="auto"/>
                <w:sz w:val="24"/>
                <w:szCs w:val="24"/>
                <w:highlight w:val="none"/>
              </w:rPr>
              <w:t>VV</w:t>
            </w:r>
          </w:p>
        </w:tc>
        <w:tc>
          <w:tcPr>
            <w:tcW w:w="2126" w:type="dxa"/>
            <w:shd w:val="clear" w:color="auto" w:fill="C0C0C0"/>
            <w:noWrap w:val="0"/>
            <w:vAlign w:val="center"/>
          </w:tcPr>
          <w:p w14:paraId="15602244">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fr-FR"/>
              </w:rPr>
              <w:t>深约90mm以内</w:t>
            </w:r>
          </w:p>
        </w:tc>
        <w:tc>
          <w:tcPr>
            <w:tcW w:w="795" w:type="dxa"/>
            <w:shd w:val="clear" w:color="auto" w:fill="C0C0C0"/>
            <w:noWrap w:val="0"/>
            <w:vAlign w:val="center"/>
          </w:tcPr>
          <w:p w14:paraId="3D7A43C6">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w:t>
            </w:r>
          </w:p>
        </w:tc>
        <w:tc>
          <w:tcPr>
            <w:tcW w:w="3451" w:type="dxa"/>
            <w:noWrap w:val="0"/>
            <w:vAlign w:val="center"/>
          </w:tcPr>
          <w:p w14:paraId="10E925F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4-6</w:t>
            </w:r>
          </w:p>
        </w:tc>
      </w:tr>
      <w:tr w14:paraId="434669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2982" w:type="dxa"/>
            <w:vMerge w:val="continue"/>
            <w:shd w:val="clear" w:color="auto" w:fill="C0C0C0"/>
            <w:noWrap w:val="0"/>
            <w:vAlign w:val="center"/>
          </w:tcPr>
          <w:p w14:paraId="06C4381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p>
        </w:tc>
        <w:tc>
          <w:tcPr>
            <w:tcW w:w="2126" w:type="dxa"/>
            <w:shd w:val="clear" w:color="auto" w:fill="C0C0C0"/>
            <w:noWrap w:val="0"/>
            <w:vAlign w:val="center"/>
          </w:tcPr>
          <w:p w14:paraId="5DEE25E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深约90mm以下</w:t>
            </w:r>
          </w:p>
        </w:tc>
        <w:tc>
          <w:tcPr>
            <w:tcW w:w="795" w:type="dxa"/>
            <w:shd w:val="clear" w:color="auto" w:fill="C0C0C0"/>
            <w:noWrap w:val="0"/>
            <w:vAlign w:val="center"/>
          </w:tcPr>
          <w:p w14:paraId="6133D53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w:t>
            </w:r>
          </w:p>
        </w:tc>
        <w:tc>
          <w:tcPr>
            <w:tcW w:w="3451" w:type="dxa"/>
            <w:noWrap w:val="0"/>
            <w:vAlign w:val="center"/>
          </w:tcPr>
          <w:p w14:paraId="5EF174A0">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3-6</w:t>
            </w:r>
          </w:p>
        </w:tc>
      </w:tr>
      <w:tr w14:paraId="318DF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5108" w:type="dxa"/>
            <w:gridSpan w:val="2"/>
            <w:tcBorders>
              <w:bottom w:val="single" w:color="auto" w:sz="4" w:space="0"/>
            </w:tcBorders>
            <w:shd w:val="clear" w:color="auto" w:fill="C0C0C0"/>
            <w:noWrap w:val="0"/>
            <w:vAlign w:val="center"/>
          </w:tcPr>
          <w:p w14:paraId="0F7993F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fr-FR"/>
              </w:rPr>
              <w:t>稳定度MS不小于</w:t>
            </w:r>
          </w:p>
        </w:tc>
        <w:tc>
          <w:tcPr>
            <w:tcW w:w="795" w:type="dxa"/>
            <w:tcBorders>
              <w:bottom w:val="single" w:color="auto" w:sz="4" w:space="0"/>
            </w:tcBorders>
            <w:shd w:val="clear" w:color="auto" w:fill="C0C0C0"/>
            <w:noWrap w:val="0"/>
            <w:vAlign w:val="center"/>
          </w:tcPr>
          <w:p w14:paraId="1849E02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kn</w:t>
            </w:r>
          </w:p>
        </w:tc>
        <w:tc>
          <w:tcPr>
            <w:tcW w:w="3451" w:type="dxa"/>
            <w:noWrap w:val="0"/>
            <w:vAlign w:val="center"/>
          </w:tcPr>
          <w:p w14:paraId="79C9585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8</w:t>
            </w:r>
          </w:p>
        </w:tc>
      </w:tr>
      <w:tr w14:paraId="52BBA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5108" w:type="dxa"/>
            <w:gridSpan w:val="2"/>
            <w:shd w:val="clear" w:color="auto" w:fill="C0C0C0"/>
            <w:noWrap w:val="0"/>
            <w:vAlign w:val="center"/>
          </w:tcPr>
          <w:p w14:paraId="1CE4DFF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流质FL</w:t>
            </w:r>
          </w:p>
        </w:tc>
        <w:tc>
          <w:tcPr>
            <w:tcW w:w="795" w:type="dxa"/>
            <w:shd w:val="clear" w:color="auto" w:fill="C0C0C0"/>
            <w:noWrap w:val="0"/>
            <w:vAlign w:val="center"/>
          </w:tcPr>
          <w:p w14:paraId="6E20CC2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mm</w:t>
            </w:r>
          </w:p>
        </w:tc>
        <w:tc>
          <w:tcPr>
            <w:tcW w:w="3451" w:type="dxa"/>
            <w:noWrap w:val="0"/>
            <w:vAlign w:val="center"/>
          </w:tcPr>
          <w:p w14:paraId="375D2BB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1.5-4</w:t>
            </w:r>
          </w:p>
        </w:tc>
      </w:tr>
      <w:tr w14:paraId="53F79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2982" w:type="dxa"/>
            <w:vMerge w:val="restart"/>
            <w:shd w:val="clear" w:color="auto" w:fill="C0C0C0"/>
            <w:noWrap w:val="0"/>
            <w:vAlign w:val="center"/>
          </w:tcPr>
          <w:p w14:paraId="0D90DFF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矿料间隙率VMA（%），不小于</w:t>
            </w:r>
          </w:p>
        </w:tc>
        <w:tc>
          <w:tcPr>
            <w:tcW w:w="2921" w:type="dxa"/>
            <w:gridSpan w:val="2"/>
            <w:shd w:val="clear" w:color="auto" w:fill="C0C0C0"/>
            <w:noWrap w:val="0"/>
            <w:vAlign w:val="center"/>
          </w:tcPr>
          <w:p w14:paraId="0C4B1CDE">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设计空隙率（%）</w:t>
            </w:r>
          </w:p>
        </w:tc>
        <w:tc>
          <w:tcPr>
            <w:tcW w:w="3451" w:type="dxa"/>
            <w:noWrap w:val="0"/>
            <w:vAlign w:val="center"/>
          </w:tcPr>
          <w:p w14:paraId="7DFE1E1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19</w:t>
            </w:r>
          </w:p>
        </w:tc>
      </w:tr>
      <w:tr w14:paraId="407A8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2982" w:type="dxa"/>
            <w:vMerge w:val="continue"/>
            <w:shd w:val="clear" w:color="auto" w:fill="C0C0C0"/>
            <w:noWrap w:val="0"/>
            <w:vAlign w:val="center"/>
          </w:tcPr>
          <w:p w14:paraId="1A54292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c>
          <w:tcPr>
            <w:tcW w:w="2921" w:type="dxa"/>
            <w:gridSpan w:val="2"/>
            <w:shd w:val="clear" w:color="auto" w:fill="C0C0C0"/>
            <w:noWrap w:val="0"/>
            <w:vAlign w:val="center"/>
          </w:tcPr>
          <w:p w14:paraId="5C1232F7">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w:t>
            </w:r>
          </w:p>
        </w:tc>
        <w:tc>
          <w:tcPr>
            <w:tcW w:w="3451" w:type="dxa"/>
            <w:noWrap w:val="0"/>
            <w:vAlign w:val="center"/>
          </w:tcPr>
          <w:p w14:paraId="0F67205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11</w:t>
            </w:r>
          </w:p>
        </w:tc>
      </w:tr>
      <w:tr w14:paraId="584F6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2982" w:type="dxa"/>
            <w:vMerge w:val="continue"/>
            <w:shd w:val="clear" w:color="auto" w:fill="C0C0C0"/>
            <w:noWrap w:val="0"/>
            <w:vAlign w:val="center"/>
          </w:tcPr>
          <w:p w14:paraId="2892D9B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c>
          <w:tcPr>
            <w:tcW w:w="2921" w:type="dxa"/>
            <w:gridSpan w:val="2"/>
            <w:shd w:val="clear" w:color="auto" w:fill="C0C0C0"/>
            <w:noWrap w:val="0"/>
            <w:vAlign w:val="center"/>
          </w:tcPr>
          <w:p w14:paraId="6D6B0EB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3</w:t>
            </w:r>
          </w:p>
        </w:tc>
        <w:tc>
          <w:tcPr>
            <w:tcW w:w="3451" w:type="dxa"/>
            <w:noWrap w:val="0"/>
            <w:vAlign w:val="center"/>
          </w:tcPr>
          <w:p w14:paraId="4409FA5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12</w:t>
            </w:r>
          </w:p>
        </w:tc>
      </w:tr>
      <w:tr w14:paraId="747835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2982" w:type="dxa"/>
            <w:vMerge w:val="continue"/>
            <w:shd w:val="clear" w:color="auto" w:fill="C0C0C0"/>
            <w:noWrap w:val="0"/>
            <w:vAlign w:val="center"/>
          </w:tcPr>
          <w:p w14:paraId="0E958E4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c>
          <w:tcPr>
            <w:tcW w:w="2921" w:type="dxa"/>
            <w:gridSpan w:val="2"/>
            <w:shd w:val="clear" w:color="auto" w:fill="C0C0C0"/>
            <w:noWrap w:val="0"/>
            <w:vAlign w:val="center"/>
          </w:tcPr>
          <w:p w14:paraId="42CFF0C5">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4</w:t>
            </w:r>
          </w:p>
        </w:tc>
        <w:tc>
          <w:tcPr>
            <w:tcW w:w="3451" w:type="dxa"/>
            <w:noWrap w:val="0"/>
            <w:vAlign w:val="center"/>
          </w:tcPr>
          <w:p w14:paraId="1096EF55">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13</w:t>
            </w:r>
          </w:p>
        </w:tc>
      </w:tr>
      <w:tr w14:paraId="128FF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2982" w:type="dxa"/>
            <w:vMerge w:val="continue"/>
            <w:shd w:val="clear" w:color="auto" w:fill="C0C0C0"/>
            <w:noWrap w:val="0"/>
            <w:vAlign w:val="center"/>
          </w:tcPr>
          <w:p w14:paraId="4BF8DED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c>
          <w:tcPr>
            <w:tcW w:w="2921" w:type="dxa"/>
            <w:gridSpan w:val="2"/>
            <w:shd w:val="clear" w:color="auto" w:fill="C0C0C0"/>
            <w:noWrap w:val="0"/>
            <w:vAlign w:val="center"/>
          </w:tcPr>
          <w:p w14:paraId="43BB448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5</w:t>
            </w:r>
          </w:p>
        </w:tc>
        <w:tc>
          <w:tcPr>
            <w:tcW w:w="3451" w:type="dxa"/>
            <w:noWrap w:val="0"/>
            <w:vAlign w:val="center"/>
          </w:tcPr>
          <w:p w14:paraId="3D022455">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14</w:t>
            </w:r>
          </w:p>
        </w:tc>
      </w:tr>
      <w:tr w14:paraId="4167A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2982" w:type="dxa"/>
            <w:vMerge w:val="continue"/>
            <w:shd w:val="clear" w:color="auto" w:fill="C0C0C0"/>
            <w:noWrap w:val="0"/>
            <w:vAlign w:val="center"/>
          </w:tcPr>
          <w:p w14:paraId="0C9C1D5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p>
        </w:tc>
        <w:tc>
          <w:tcPr>
            <w:tcW w:w="2921" w:type="dxa"/>
            <w:gridSpan w:val="2"/>
            <w:shd w:val="clear" w:color="auto" w:fill="C0C0C0"/>
            <w:noWrap w:val="0"/>
            <w:vAlign w:val="center"/>
          </w:tcPr>
          <w:p w14:paraId="271D7DC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6</w:t>
            </w:r>
          </w:p>
        </w:tc>
        <w:tc>
          <w:tcPr>
            <w:tcW w:w="3451" w:type="dxa"/>
            <w:noWrap w:val="0"/>
            <w:vAlign w:val="center"/>
          </w:tcPr>
          <w:p w14:paraId="14C9275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15</w:t>
            </w:r>
          </w:p>
        </w:tc>
      </w:tr>
      <w:tr w14:paraId="6F8E9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5903" w:type="dxa"/>
            <w:gridSpan w:val="3"/>
            <w:shd w:val="clear" w:color="auto" w:fill="C0C0C0"/>
            <w:noWrap w:val="0"/>
            <w:vAlign w:val="center"/>
          </w:tcPr>
          <w:p w14:paraId="68289AE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沥青饱和度VFA（%）</w:t>
            </w:r>
          </w:p>
        </w:tc>
        <w:tc>
          <w:tcPr>
            <w:tcW w:w="3451" w:type="dxa"/>
            <w:noWrap w:val="0"/>
            <w:vAlign w:val="center"/>
          </w:tcPr>
          <w:p w14:paraId="4782E06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65-75</w:t>
            </w:r>
          </w:p>
        </w:tc>
      </w:tr>
    </w:tbl>
    <w:p w14:paraId="66C51EDE">
      <w:pPr>
        <w:keepNext w:val="0"/>
        <w:keepLines w:val="0"/>
        <w:pageBreakBefore w:val="0"/>
        <w:kinsoku/>
        <w:wordWrap/>
        <w:overflowPunct/>
        <w:topLinePunct/>
        <w:bidi w:val="0"/>
        <w:snapToGrid/>
        <w:spacing w:line="360" w:lineRule="auto"/>
        <w:textAlignment w:val="auto"/>
        <w:rPr>
          <w:rFonts w:hint="eastAsia" w:ascii="仿宋" w:hAnsi="仿宋" w:eastAsia="仿宋" w:cs="仿宋"/>
          <w:bCs/>
          <w:color w:val="auto"/>
          <w:sz w:val="24"/>
          <w:szCs w:val="24"/>
          <w:highlight w:val="none"/>
        </w:rPr>
      </w:pPr>
      <w:r>
        <w:rPr>
          <w:rFonts w:hint="eastAsia" w:ascii="仿宋" w:hAnsi="仿宋" w:eastAsia="仿宋" w:cs="仿宋"/>
          <w:bCs/>
          <w:color w:val="auto"/>
          <w:sz w:val="24"/>
          <w:szCs w:val="24"/>
          <w:highlight w:val="none"/>
        </w:rPr>
        <w:t>注：取值为重载交通、夏炎热区值。</w:t>
      </w:r>
    </w:p>
    <w:p w14:paraId="48AFAF85">
      <w:pPr>
        <w:keepNext w:val="0"/>
        <w:keepLines w:val="0"/>
        <w:pageBreakBefore w:val="0"/>
        <w:kinsoku/>
        <w:wordWrap/>
        <w:overflowPunct/>
        <w:topLinePunct/>
        <w:bidi w:val="0"/>
        <w:snapToGrid/>
        <w:spacing w:line="360" w:lineRule="auto"/>
        <w:ind w:firstLine="472" w:firstLineChars="197"/>
        <w:textAlignment w:val="auto"/>
        <w:rPr>
          <w:rFonts w:hint="eastAsia" w:ascii="仿宋" w:hAnsi="仿宋" w:eastAsia="仿宋" w:cs="仿宋"/>
          <w:bCs/>
          <w:color w:val="auto"/>
          <w:sz w:val="24"/>
          <w:szCs w:val="24"/>
          <w:highlight w:val="none"/>
        </w:rPr>
      </w:pPr>
      <w:r>
        <w:rPr>
          <w:rFonts w:hint="eastAsia" w:ascii="仿宋" w:hAnsi="仿宋" w:eastAsia="仿宋" w:cs="仿宋"/>
          <w:bCs/>
          <w:color w:val="auto"/>
          <w:sz w:val="24"/>
          <w:szCs w:val="24"/>
          <w:highlight w:val="none"/>
        </w:rPr>
        <w:t>路面材料及施工须满足《公路沥青路面施工技术规范》</w:t>
      </w:r>
      <w:r>
        <w:rPr>
          <w:rFonts w:hint="eastAsia" w:ascii="仿宋" w:hAnsi="仿宋" w:eastAsia="仿宋" w:cs="仿宋"/>
          <w:color w:val="auto"/>
          <w:sz w:val="24"/>
          <w:szCs w:val="24"/>
          <w:highlight w:val="none"/>
        </w:rPr>
        <w:t>（JTG F40-2004）</w:t>
      </w:r>
      <w:r>
        <w:rPr>
          <w:rFonts w:hint="eastAsia" w:ascii="仿宋" w:hAnsi="仿宋" w:eastAsia="仿宋" w:cs="仿宋"/>
          <w:bCs/>
          <w:color w:val="auto"/>
          <w:sz w:val="24"/>
          <w:szCs w:val="24"/>
          <w:highlight w:val="none"/>
        </w:rPr>
        <w:t>的要求。</w:t>
      </w:r>
    </w:p>
    <w:p w14:paraId="66E52077">
      <w:pPr>
        <w:keepNext w:val="0"/>
        <w:keepLines w:val="0"/>
        <w:pageBreakBefore w:val="0"/>
        <w:kinsoku/>
        <w:wordWrap/>
        <w:overflowPunct/>
        <w:bidi w:val="0"/>
        <w:snapToGrid/>
        <w:spacing w:line="360" w:lineRule="auto"/>
        <w:ind w:firstLine="482" w:firstLineChars="200"/>
        <w:textAlignment w:val="auto"/>
        <w:rPr>
          <w:rFonts w:hint="eastAsia" w:ascii="仿宋" w:hAnsi="仿宋" w:eastAsia="仿宋" w:cs="仿宋"/>
          <w:b/>
          <w:bCs/>
          <w:color w:val="auto"/>
          <w:sz w:val="24"/>
          <w:szCs w:val="24"/>
          <w:highlight w:val="none"/>
        </w:rPr>
      </w:pPr>
      <w:r>
        <w:rPr>
          <w:rFonts w:hint="eastAsia" w:ascii="仿宋" w:hAnsi="仿宋" w:eastAsia="仿宋" w:cs="仿宋"/>
          <w:b/>
          <w:bCs/>
          <w:color w:val="auto"/>
          <w:sz w:val="24"/>
          <w:szCs w:val="24"/>
          <w:highlight w:val="none"/>
        </w:rPr>
        <w:t>d)</w:t>
      </w:r>
      <w:r>
        <w:rPr>
          <w:rFonts w:hint="eastAsia" w:ascii="仿宋" w:hAnsi="仿宋" w:eastAsia="仿宋" w:cs="仿宋"/>
          <w:b/>
          <w:color w:val="auto"/>
          <w:sz w:val="24"/>
          <w:szCs w:val="24"/>
          <w:highlight w:val="none"/>
        </w:rPr>
        <w:t>沥青混凝土路面施工</w:t>
      </w:r>
    </w:p>
    <w:p w14:paraId="52B07422">
      <w:pPr>
        <w:keepNext w:val="0"/>
        <w:keepLines w:val="0"/>
        <w:pageBreakBefore w:val="0"/>
        <w:kinsoku/>
        <w:wordWrap/>
        <w:overflowPunct/>
        <w:bidi w:val="0"/>
        <w:snapToGrid/>
        <w:spacing w:line="36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沥青混合料必须在对同类道路配合比设计和使用情况调查研究的基础上，充分借鉴成功的经验，选用符合要求的材料，进行配合比设计。</w:t>
      </w:r>
    </w:p>
    <w:p w14:paraId="78B89028">
      <w:pPr>
        <w:keepNext w:val="0"/>
        <w:keepLines w:val="0"/>
        <w:pageBreakBefore w:val="0"/>
        <w:kinsoku/>
        <w:wordWrap/>
        <w:overflowPunct/>
        <w:bidi w:val="0"/>
        <w:snapToGrid/>
        <w:spacing w:line="36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沥青混合料必须在沥青拌和厂(场、站)采用拌和机械拌制。</w:t>
      </w:r>
    </w:p>
    <w:p w14:paraId="5F4DBE2D">
      <w:pPr>
        <w:keepNext w:val="0"/>
        <w:keepLines w:val="0"/>
        <w:pageBreakBefore w:val="0"/>
        <w:kinsoku/>
        <w:wordWrap/>
        <w:overflowPunct/>
        <w:bidi w:val="0"/>
        <w:snapToGrid/>
        <w:spacing w:line="36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热拌沥青混合料应采用沥青摊铺机摊铺，在喷洒有粘层油的路面上铺筑改性沥青混合料时，宜使用履带式摊铺机。摊铺机必须缓慢、均匀、连续不间断地摊铺，不得随意变换速度或中途停顿，以提高平整度，减少混合料的离析。</w:t>
      </w:r>
    </w:p>
    <w:p w14:paraId="68139A23">
      <w:pPr>
        <w:keepNext w:val="0"/>
        <w:keepLines w:val="0"/>
        <w:pageBreakBefore w:val="0"/>
        <w:kinsoku/>
        <w:wordWrap/>
        <w:overflowPunct/>
        <w:bidi w:val="0"/>
        <w:snapToGrid/>
        <w:spacing w:line="36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沥青混合料的松铺系数应根据混合料类型由试铺试压确定。摊铺过程中应随时检查摊铺层厚度及路拱、横坡。摊铺不得中途停顿，并加快碾压。如因故不能及时碾压时，应立即停止摊铺，并对已卸下的沥青混合料覆盖苫布保温。</w:t>
      </w:r>
    </w:p>
    <w:p w14:paraId="1D45DE31">
      <w:pPr>
        <w:keepNext w:val="0"/>
        <w:keepLines w:val="0"/>
        <w:pageBreakBefore w:val="0"/>
        <w:kinsoku/>
        <w:wordWrap/>
        <w:overflowPunct/>
        <w:bidi w:val="0"/>
        <w:snapToGrid/>
        <w:spacing w:line="36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压实成型的沥青路面应符合压实度及平整度的要求。</w:t>
      </w:r>
    </w:p>
    <w:p w14:paraId="2B4A66A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压路机的碾压温度应符合《公路沥青路面施工技术规范》（JTG F40-2004）表5.2.2的要求，并根据混合料种类、压路机、气温、层厚等情况经试压确定。当采用三轮钢筒式压路机时，总质量不宜小于12t，相邻碾压带宜重叠后轮的1/2宽度，并不应少于200mm。对路面边缘、加宽及港湾式停车带等大型压路机难于碾压的部位，宜采用小型振动压路机或振动夯板作补充碾压。</w:t>
      </w:r>
    </w:p>
    <w:p w14:paraId="08BF9A84">
      <w:pPr>
        <w:pStyle w:val="4"/>
        <w:keepNext w:val="0"/>
        <w:keepLines w:val="0"/>
        <w:pageBreakBefore w:val="0"/>
        <w:widowControl w:val="0"/>
        <w:kinsoku/>
        <w:wordWrap/>
        <w:overflowPunct/>
        <w:topLinePunct w:val="0"/>
        <w:autoSpaceDE/>
        <w:autoSpaceDN/>
        <w:bidi w:val="0"/>
        <w:adjustRightInd/>
        <w:snapToGrid/>
        <w:spacing w:before="0" w:beforeLines="0"/>
        <w:textAlignment w:val="auto"/>
        <w:rPr>
          <w:rFonts w:hint="eastAsia" w:ascii="仿宋" w:hAnsi="仿宋" w:eastAsia="仿宋" w:cs="仿宋"/>
          <w:color w:val="auto"/>
          <w:highlight w:val="none"/>
          <w:lang w:eastAsia="zh-CN"/>
        </w:rPr>
      </w:pPr>
      <w:r>
        <w:rPr>
          <w:rFonts w:hint="eastAsia" w:ascii="仿宋" w:hAnsi="仿宋" w:eastAsia="仿宋" w:cs="仿宋"/>
          <w:color w:val="auto"/>
          <w:highlight w:val="none"/>
          <w:lang w:val="en-US" w:eastAsia="zh-CN"/>
        </w:rPr>
        <w:t>6</w:t>
      </w:r>
      <w:r>
        <w:rPr>
          <w:rFonts w:hint="eastAsia" w:ascii="仿宋" w:hAnsi="仿宋" w:eastAsia="仿宋" w:cs="仿宋"/>
          <w:color w:val="auto"/>
          <w:highlight w:val="none"/>
        </w:rPr>
        <w:t>.</w:t>
      </w:r>
      <w:bookmarkEnd w:id="90"/>
      <w:bookmarkEnd w:id="91"/>
      <w:r>
        <w:rPr>
          <w:rFonts w:hint="eastAsia" w:ascii="仿宋" w:hAnsi="仿宋" w:eastAsia="仿宋" w:cs="仿宋"/>
          <w:color w:val="auto"/>
          <w:highlight w:val="none"/>
          <w:lang w:val="en-US" w:eastAsia="zh-CN"/>
        </w:rPr>
        <w:t>4.4</w:t>
      </w:r>
      <w:r>
        <w:rPr>
          <w:rFonts w:hint="eastAsia" w:ascii="仿宋" w:hAnsi="仿宋" w:eastAsia="仿宋" w:cs="仿宋"/>
          <w:color w:val="auto"/>
          <w:highlight w:val="none"/>
          <w:lang w:eastAsia="zh-CN"/>
        </w:rPr>
        <w:t>抗裂贴</w:t>
      </w:r>
    </w:p>
    <w:p w14:paraId="469C2C8D">
      <w:pPr>
        <w:rPr>
          <w:rFonts w:hint="eastAsia" w:ascii="仿宋" w:hAnsi="仿宋" w:eastAsia="仿宋" w:cs="仿宋"/>
          <w:color w:val="auto"/>
          <w:highlight w:val="none"/>
        </w:rPr>
      </w:pPr>
      <w:r>
        <w:rPr>
          <w:rFonts w:hint="eastAsia" w:ascii="仿宋" w:hAnsi="仿宋" w:eastAsia="仿宋" w:cs="仿宋"/>
          <w:color w:val="auto"/>
          <w:highlight w:val="none"/>
        </w:rPr>
        <w:t>混凝土板</w:t>
      </w:r>
      <w:r>
        <w:rPr>
          <w:rFonts w:hint="eastAsia" w:ascii="仿宋" w:hAnsi="仿宋" w:eastAsia="仿宋" w:cs="仿宋"/>
          <w:color w:val="auto"/>
          <w:highlight w:val="none"/>
          <w:lang w:eastAsia="zh-CN"/>
        </w:rPr>
        <w:t>切</w:t>
      </w:r>
      <w:r>
        <w:rPr>
          <w:rFonts w:hint="eastAsia" w:ascii="仿宋" w:hAnsi="仿宋" w:eastAsia="仿宋" w:cs="仿宋"/>
          <w:color w:val="auto"/>
          <w:highlight w:val="none"/>
        </w:rPr>
        <w:t>缝</w:t>
      </w:r>
      <w:r>
        <w:rPr>
          <w:rFonts w:hint="eastAsia" w:ascii="仿宋" w:hAnsi="仿宋" w:eastAsia="仿宋" w:cs="仿宋"/>
          <w:color w:val="auto"/>
          <w:highlight w:val="none"/>
          <w:lang w:eastAsia="zh-CN"/>
        </w:rPr>
        <w:t>及裂缝修补</w:t>
      </w:r>
      <w:r>
        <w:rPr>
          <w:rFonts w:hint="eastAsia" w:ascii="仿宋" w:hAnsi="仿宋" w:eastAsia="仿宋" w:cs="仿宋"/>
          <w:color w:val="auto"/>
          <w:highlight w:val="none"/>
        </w:rPr>
        <w:t>均应铺设</w:t>
      </w:r>
      <w:r>
        <w:rPr>
          <w:rFonts w:hint="eastAsia" w:ascii="仿宋" w:hAnsi="仿宋" w:eastAsia="仿宋" w:cs="仿宋"/>
          <w:color w:val="auto"/>
          <w:highlight w:val="none"/>
          <w:lang w:eastAsia="zh-CN"/>
        </w:rPr>
        <w:t>抗裂贴</w:t>
      </w:r>
      <w:r>
        <w:rPr>
          <w:rFonts w:hint="eastAsia" w:ascii="仿宋" w:hAnsi="仿宋" w:eastAsia="仿宋" w:cs="仿宋"/>
          <w:color w:val="auto"/>
          <w:highlight w:val="none"/>
        </w:rPr>
        <w:t>，抗裂贴要求采用自粘型，抗拉强度大于35KN/m,松弛率小于10%,宽度为50cm</w:t>
      </w:r>
      <w:r>
        <w:rPr>
          <w:rFonts w:hint="eastAsia" w:ascii="仿宋" w:hAnsi="仿宋" w:eastAsia="仿宋" w:cs="仿宋"/>
          <w:color w:val="auto"/>
          <w:highlight w:val="none"/>
          <w:lang w:eastAsia="zh-CN"/>
        </w:rPr>
        <w:t>，</w:t>
      </w:r>
      <w:r>
        <w:rPr>
          <w:rFonts w:hint="eastAsia" w:ascii="仿宋" w:hAnsi="仿宋" w:eastAsia="仿宋" w:cs="仿宋"/>
          <w:color w:val="auto"/>
          <w:highlight w:val="none"/>
        </w:rPr>
        <w:t>2mm厚、宽度</w:t>
      </w:r>
      <w:r>
        <w:rPr>
          <w:rFonts w:hint="eastAsia" w:ascii="仿宋" w:hAnsi="仿宋" w:eastAsia="仿宋" w:cs="仿宋"/>
          <w:color w:val="auto"/>
          <w:highlight w:val="none"/>
          <w:lang w:val="en-US" w:eastAsia="zh-CN"/>
        </w:rPr>
        <w:t>50</w:t>
      </w:r>
      <w:r>
        <w:rPr>
          <w:rFonts w:hint="eastAsia" w:ascii="仿宋" w:hAnsi="仿宋" w:eastAsia="仿宋" w:cs="仿宋"/>
          <w:color w:val="auto"/>
          <w:highlight w:val="none"/>
        </w:rPr>
        <w:t>cm。</w:t>
      </w:r>
    </w:p>
    <w:p w14:paraId="7DB2037F">
      <w:pPr>
        <w:keepNext/>
        <w:keepLines/>
        <w:pageBreakBefore w:val="0"/>
        <w:widowControl w:val="0"/>
        <w:numPr>
          <w:ilvl w:val="0"/>
          <w:numId w:val="0"/>
        </w:numPr>
        <w:kinsoku/>
        <w:wordWrap/>
        <w:overflowPunct/>
        <w:topLinePunct w:val="0"/>
        <w:autoSpaceDE/>
        <w:autoSpaceDN/>
        <w:bidi w:val="0"/>
        <w:adjustRightInd/>
        <w:snapToGrid/>
        <w:spacing w:line="360" w:lineRule="auto"/>
        <w:ind w:leftChars="0"/>
        <w:jc w:val="left"/>
        <w:textAlignment w:val="auto"/>
        <w:outlineLvl w:val="1"/>
        <w:rPr>
          <w:rFonts w:hint="eastAsia" w:ascii="仿宋" w:hAnsi="仿宋" w:eastAsia="仿宋" w:cs="仿宋"/>
          <w:b/>
          <w:bCs/>
          <w:color w:val="auto"/>
          <w:sz w:val="28"/>
          <w:szCs w:val="28"/>
          <w:highlight w:val="none"/>
          <w:lang w:val="en-US" w:eastAsia="zh-CN"/>
        </w:rPr>
      </w:pPr>
      <w:r>
        <w:rPr>
          <w:rFonts w:hint="eastAsia" w:ascii="仿宋" w:hAnsi="仿宋" w:eastAsia="仿宋" w:cs="仿宋"/>
          <w:b/>
          <w:bCs/>
          <w:color w:val="auto"/>
          <w:sz w:val="28"/>
          <w:szCs w:val="28"/>
          <w:highlight w:val="none"/>
          <w:lang w:val="en-US" w:eastAsia="zh-CN"/>
        </w:rPr>
        <w:t>6.5 施工注意事项</w:t>
      </w:r>
    </w:p>
    <w:p w14:paraId="45FDB1D1">
      <w:pPr>
        <w:keepNext/>
        <w:keepLines/>
        <w:pageBreakBefore w:val="0"/>
        <w:widowControl w:val="0"/>
        <w:numPr>
          <w:ilvl w:val="0"/>
          <w:numId w:val="0"/>
        </w:numPr>
        <w:kinsoku/>
        <w:wordWrap/>
        <w:overflowPunct/>
        <w:topLinePunct w:val="0"/>
        <w:autoSpaceDE/>
        <w:autoSpaceDN/>
        <w:bidi w:val="0"/>
        <w:adjustRightInd/>
        <w:snapToGrid/>
        <w:ind w:leftChars="0"/>
        <w:jc w:val="left"/>
        <w:textAlignment w:val="auto"/>
        <w:outlineLvl w:val="2"/>
        <w:rPr>
          <w:rFonts w:hint="eastAsia" w:ascii="仿宋" w:hAnsi="仿宋" w:eastAsia="仿宋" w:cs="仿宋"/>
          <w:b/>
          <w:bCs/>
          <w:color w:val="auto"/>
          <w:szCs w:val="32"/>
          <w:highlight w:val="none"/>
          <w:lang w:val="en-US" w:eastAsia="zh-CN"/>
        </w:rPr>
      </w:pPr>
      <w:r>
        <w:rPr>
          <w:rFonts w:hint="eastAsia" w:ascii="仿宋" w:hAnsi="仿宋" w:eastAsia="仿宋" w:cs="仿宋"/>
          <w:b/>
          <w:bCs/>
          <w:color w:val="auto"/>
          <w:szCs w:val="32"/>
          <w:highlight w:val="none"/>
          <w:lang w:val="en-US" w:eastAsia="zh-CN"/>
        </w:rPr>
        <w:t>6.5.1施工安全</w:t>
      </w:r>
    </w:p>
    <w:p w14:paraId="517A182A">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在不中断交通且保持道路畅通的情况下进行道路的维修是项较为复杂且困难的工作，必须树立安全第一的施工观念，尽可能减小对交通的影响，防止因维修路面造成交通堵塞，杜绝因维修而出现交通事故。因此建议：</w:t>
      </w:r>
    </w:p>
    <w:p w14:paraId="46943634">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1</w:t>
      </w:r>
      <w:r>
        <w:rPr>
          <w:rFonts w:hint="eastAsia" w:ascii="仿宋" w:hAnsi="仿宋" w:eastAsia="仿宋" w:cs="仿宋"/>
          <w:color w:val="auto"/>
          <w:highlight w:val="none"/>
          <w:lang w:eastAsia="zh-CN"/>
        </w:rPr>
        <w:t>）</w:t>
      </w:r>
      <w:r>
        <w:rPr>
          <w:rFonts w:hint="eastAsia" w:ascii="仿宋" w:hAnsi="仿宋" w:eastAsia="仿宋" w:cs="仿宋"/>
          <w:color w:val="auto"/>
          <w:highlight w:val="none"/>
        </w:rPr>
        <w:t>本项目的危大工程主要为施工期间道路运行安全，施工作业过程中施工单位应向交管部门提交施工期间交通导改方案并取得其同意意见，同时在施工过程中严格按照导改方案进行交通疏导。</w:t>
      </w:r>
    </w:p>
    <w:p w14:paraId="4CCC176A">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lang w:eastAsia="zh-CN"/>
        </w:rPr>
        <w:t>）</w:t>
      </w:r>
      <w:r>
        <w:rPr>
          <w:rFonts w:hint="eastAsia" w:ascii="仿宋" w:hAnsi="仿宋" w:eastAsia="仿宋" w:cs="仿宋"/>
          <w:color w:val="auto"/>
          <w:highlight w:val="none"/>
        </w:rPr>
        <w:t>必须按照国标的要求设立醒目的标志牌和隔离设施。在封闭路段的两端须具备电光反光功能的导向牌1-2块，以便昼夜起到警示作用；隔离设施如三角锥须按3米间隔摆放；并在标志牌中增设5-6块温馨告示牌。</w:t>
      </w:r>
    </w:p>
    <w:p w14:paraId="731FDE5D">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3</w:t>
      </w:r>
      <w:r>
        <w:rPr>
          <w:rFonts w:hint="eastAsia" w:ascii="仿宋" w:hAnsi="仿宋" w:eastAsia="仿宋" w:cs="仿宋"/>
          <w:color w:val="auto"/>
          <w:highlight w:val="none"/>
          <w:lang w:eastAsia="zh-CN"/>
        </w:rPr>
        <w:t>）</w:t>
      </w:r>
      <w:r>
        <w:rPr>
          <w:rFonts w:hint="eastAsia" w:ascii="仿宋" w:hAnsi="仿宋" w:eastAsia="仿宋" w:cs="仿宋"/>
          <w:color w:val="auto"/>
          <w:highlight w:val="none"/>
        </w:rPr>
        <w:t>设立安全保卫指挥交通专职机构，并设专人24h指挥交通和维护安全设施。</w:t>
      </w:r>
    </w:p>
    <w:p w14:paraId="55AF5D03">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4</w:t>
      </w:r>
      <w:r>
        <w:rPr>
          <w:rFonts w:hint="eastAsia" w:ascii="仿宋" w:hAnsi="仿宋" w:eastAsia="仿宋" w:cs="仿宋"/>
          <w:color w:val="auto"/>
          <w:highlight w:val="none"/>
          <w:lang w:eastAsia="zh-CN"/>
        </w:rPr>
        <w:t>）</w:t>
      </w:r>
      <w:r>
        <w:rPr>
          <w:rFonts w:hint="eastAsia" w:ascii="仿宋" w:hAnsi="仿宋" w:eastAsia="仿宋" w:cs="仿宋"/>
          <w:color w:val="auto"/>
          <w:highlight w:val="none"/>
        </w:rPr>
        <w:t>合理划分作业段，尽可能缩短施工路段长度，缩短作业段的施工期。</w:t>
      </w:r>
    </w:p>
    <w:p w14:paraId="18F96D55">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5</w:t>
      </w:r>
      <w:r>
        <w:rPr>
          <w:rFonts w:hint="eastAsia" w:ascii="仿宋" w:hAnsi="仿宋" w:eastAsia="仿宋" w:cs="仿宋"/>
          <w:color w:val="auto"/>
          <w:highlight w:val="none"/>
          <w:lang w:eastAsia="zh-CN"/>
        </w:rPr>
        <w:t>）</w:t>
      </w:r>
      <w:r>
        <w:rPr>
          <w:rFonts w:hint="eastAsia" w:ascii="仿宋" w:hAnsi="仿宋" w:eastAsia="仿宋" w:cs="仿宋"/>
          <w:color w:val="auto"/>
          <w:highlight w:val="none"/>
        </w:rPr>
        <w:t>可根据交通量的大小考虑分幅作业或在单幅上行车道与超车道分开作业。分幅作业时可充分利用中央分隔带的开口栅路段，单幅上作业必须加强交通管理，而且在行车道与超车道之间设立正式的分隔设施。</w:t>
      </w:r>
    </w:p>
    <w:p w14:paraId="3846BB22">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6</w:t>
      </w:r>
      <w:r>
        <w:rPr>
          <w:rFonts w:hint="eastAsia" w:ascii="仿宋" w:hAnsi="仿宋" w:eastAsia="仿宋" w:cs="仿宋"/>
          <w:color w:val="auto"/>
          <w:highlight w:val="none"/>
          <w:lang w:eastAsia="zh-CN"/>
        </w:rPr>
        <w:t>）</w:t>
      </w:r>
      <w:r>
        <w:rPr>
          <w:rFonts w:hint="eastAsia" w:ascii="仿宋" w:hAnsi="仿宋" w:eastAsia="仿宋" w:cs="仿宋"/>
          <w:color w:val="auto"/>
          <w:highlight w:val="none"/>
        </w:rPr>
        <w:t>在保证质量的前提下，充分利用夜间时段进行施工，加快施工进度。</w:t>
      </w:r>
    </w:p>
    <w:p w14:paraId="74AAE6D9">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b/>
          <w:bCs/>
          <w:color w:val="auto"/>
          <w:szCs w:val="32"/>
          <w:highlight w:val="none"/>
          <w:lang w:val="en-US" w:eastAsia="zh-CN"/>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7</w:t>
      </w:r>
      <w:r>
        <w:rPr>
          <w:rFonts w:hint="eastAsia" w:ascii="仿宋" w:hAnsi="仿宋" w:eastAsia="仿宋" w:cs="仿宋"/>
          <w:color w:val="auto"/>
          <w:highlight w:val="none"/>
          <w:lang w:eastAsia="zh-CN"/>
        </w:rPr>
        <w:t>）</w:t>
      </w:r>
      <w:r>
        <w:rPr>
          <w:rFonts w:hint="eastAsia" w:ascii="仿宋" w:hAnsi="仿宋" w:eastAsia="仿宋" w:cs="仿宋"/>
          <w:color w:val="auto"/>
          <w:highlight w:val="none"/>
        </w:rPr>
        <w:t>尽可能防止因施工原因而造成油面层污染，以免影响沥青层的层间粘结。</w:t>
      </w:r>
    </w:p>
    <w:p w14:paraId="36F13C39">
      <w:pPr>
        <w:keepNext/>
        <w:keepLines/>
        <w:pageBreakBefore w:val="0"/>
        <w:widowControl w:val="0"/>
        <w:numPr>
          <w:ilvl w:val="0"/>
          <w:numId w:val="0"/>
        </w:numPr>
        <w:kinsoku/>
        <w:wordWrap/>
        <w:overflowPunct/>
        <w:topLinePunct w:val="0"/>
        <w:autoSpaceDE/>
        <w:autoSpaceDN/>
        <w:bidi w:val="0"/>
        <w:adjustRightInd/>
        <w:snapToGrid/>
        <w:ind w:leftChars="0"/>
        <w:jc w:val="left"/>
        <w:textAlignment w:val="auto"/>
        <w:outlineLvl w:val="2"/>
        <w:rPr>
          <w:rFonts w:hint="eastAsia" w:ascii="仿宋" w:hAnsi="仿宋" w:eastAsia="仿宋" w:cs="仿宋"/>
          <w:b/>
          <w:bCs/>
          <w:color w:val="auto"/>
          <w:szCs w:val="32"/>
          <w:highlight w:val="none"/>
          <w:lang w:val="en-US" w:eastAsia="zh-CN"/>
        </w:rPr>
      </w:pPr>
      <w:r>
        <w:rPr>
          <w:rFonts w:hint="eastAsia" w:ascii="仿宋" w:hAnsi="仿宋" w:eastAsia="仿宋" w:cs="仿宋"/>
          <w:b/>
          <w:bCs/>
          <w:color w:val="auto"/>
          <w:szCs w:val="32"/>
          <w:highlight w:val="none"/>
          <w:lang w:val="en-US" w:eastAsia="zh-CN"/>
        </w:rPr>
        <w:t>6.5.2病害调查</w:t>
      </w:r>
    </w:p>
    <w:p w14:paraId="5897086B">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鉴于养护工程项目中路面病害具有实时发展的特点，为保证病害处治到位，基于本项目“动态设计”的原则，在路面病害处治实施前，由监理方组织，业主方、监理方、设计方、施工方共同对路面病害范围进行现场核查并确定病害处治的具体实施范围。</w:t>
      </w:r>
    </w:p>
    <w:p w14:paraId="54B5B028">
      <w:pPr>
        <w:keepNext/>
        <w:keepLines/>
        <w:pageBreakBefore w:val="0"/>
        <w:widowControl w:val="0"/>
        <w:numPr>
          <w:ilvl w:val="0"/>
          <w:numId w:val="0"/>
        </w:numPr>
        <w:kinsoku/>
        <w:wordWrap/>
        <w:overflowPunct/>
        <w:topLinePunct w:val="0"/>
        <w:autoSpaceDE/>
        <w:autoSpaceDN/>
        <w:bidi w:val="0"/>
        <w:adjustRightInd/>
        <w:snapToGrid/>
        <w:ind w:leftChars="0"/>
        <w:jc w:val="left"/>
        <w:textAlignment w:val="auto"/>
        <w:outlineLvl w:val="2"/>
        <w:rPr>
          <w:rFonts w:hint="eastAsia" w:ascii="仿宋" w:hAnsi="仿宋" w:eastAsia="仿宋" w:cs="仿宋"/>
          <w:b/>
          <w:bCs/>
          <w:color w:val="auto"/>
          <w:szCs w:val="32"/>
          <w:highlight w:val="none"/>
          <w:lang w:val="en-US" w:eastAsia="zh-CN"/>
        </w:rPr>
      </w:pPr>
      <w:r>
        <w:rPr>
          <w:rFonts w:hint="eastAsia" w:ascii="仿宋" w:hAnsi="仿宋" w:eastAsia="仿宋" w:cs="仿宋"/>
          <w:b/>
          <w:bCs/>
          <w:color w:val="auto"/>
          <w:szCs w:val="32"/>
          <w:highlight w:val="none"/>
          <w:lang w:val="en-US" w:eastAsia="zh-CN"/>
        </w:rPr>
        <w:t>6.5.3沥青路面施工</w:t>
      </w:r>
    </w:p>
    <w:p w14:paraId="49249C94">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1、</w:t>
      </w:r>
      <w:r>
        <w:rPr>
          <w:rFonts w:hint="eastAsia" w:ascii="仿宋" w:hAnsi="仿宋" w:eastAsia="仿宋" w:cs="仿宋"/>
          <w:color w:val="auto"/>
          <w:highlight w:val="none"/>
        </w:rPr>
        <w:t>路面铣刨</w:t>
      </w:r>
    </w:p>
    <w:p w14:paraId="6181D872">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（1）沥青路面铣刨作业包括：打线、铣刨、铣刨废料运输、刨边角、清运废渣、铣刨面复查等几道工序。</w:t>
      </w:r>
    </w:p>
    <w:p w14:paraId="4F114F9D">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（2）沿被铣刨车道的方向，按照规定的铣刨宽度在路面上弹线标记，用以引导铣刨机铣刨的宽度和线形；</w:t>
      </w:r>
    </w:p>
    <w:p w14:paraId="4296AEB0">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（3）刨机进入作业面后调整铣刨机铣刨深度，使其满足规定要求；</w:t>
      </w:r>
    </w:p>
    <w:p w14:paraId="7709DC69">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（4）铣刨时，铣刨机应沿弹线铣刨，保持铣刨线形的圆滑、顺畅；</w:t>
      </w:r>
    </w:p>
    <w:p w14:paraId="741B9A63">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（5）铣刨开始前，料车应在铣刨机前做好接废料的准备。铣刨开始后，应保持铣刨机与废料车的行驶速度一致（铣刨机速度应控制在6-8m/min左右），避免废料撒漏在路面上；</w:t>
      </w:r>
    </w:p>
    <w:p w14:paraId="5282216C">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6）铣刨过程中，施工人员应随时检查铣刨深度及是否有夹层出现。如出现夹层应及时调整铣刨厚度将其刨掉。当铣刨至构造物铺装层时，应避免破坏结构表面。可依实际情况用铣刨机铣刨一定厚度，剩余部分用人工清除；</w:t>
      </w:r>
    </w:p>
    <w:p w14:paraId="02A81B8A">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（7）在铣刨施工作业中，各结构层铣刨形成台阶对降低水损坏有明显作用。要求铣刨施工作业时横向台阶为15cm，纵向台阶为</w:t>
      </w:r>
      <w:r>
        <w:rPr>
          <w:rFonts w:hint="eastAsia" w:ascii="仿宋" w:hAnsi="仿宋" w:eastAsia="仿宋" w:cs="仿宋"/>
          <w:color w:val="auto"/>
          <w:highlight w:val="none"/>
          <w:lang w:val="en-US" w:eastAsia="zh-CN"/>
        </w:rPr>
        <w:t>50cm</w:t>
      </w:r>
      <w:r>
        <w:rPr>
          <w:rFonts w:hint="eastAsia" w:ascii="仿宋" w:hAnsi="仿宋" w:eastAsia="仿宋" w:cs="仿宋"/>
          <w:color w:val="auto"/>
          <w:highlight w:val="none"/>
        </w:rPr>
        <w:t>，台阶侧面与底面涂抹改性乳化沥青。</w:t>
      </w:r>
    </w:p>
    <w:p w14:paraId="4530D810">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rPr>
        <w:t>路面清理</w:t>
      </w:r>
    </w:p>
    <w:p w14:paraId="72BC4FA1">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（1）铣刨完毕后，应紧接着进行铣刨面的清理工作；</w:t>
      </w:r>
    </w:p>
    <w:p w14:paraId="1F0E03F3">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（2）对铣刨面进行清扫，用鼓风机将尘吹干净，清除遗留残渣或污物；</w:t>
      </w:r>
    </w:p>
    <w:p w14:paraId="77736308">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（3）清理后对于铣刨面的夹层、裂缝、松散等病害在摊铺层之前，以及原路面的裂缝、坑槽、龟裂等局部病害在就地热再生之前，要处理彻底。</w:t>
      </w:r>
    </w:p>
    <w:p w14:paraId="3BE48933">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（4）粘层油宜在当天洒布，待稀释剂基本挥发完成后，紧跟着铺筑沥青层，确保粘层不受污染。</w:t>
      </w:r>
    </w:p>
    <w:p w14:paraId="56FB0CBA">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3、</w:t>
      </w:r>
      <w:r>
        <w:rPr>
          <w:rFonts w:hint="eastAsia" w:ascii="仿宋" w:hAnsi="仿宋" w:eastAsia="仿宋" w:cs="仿宋"/>
          <w:color w:val="auto"/>
          <w:highlight w:val="none"/>
        </w:rPr>
        <w:t>灌缝处理</w:t>
      </w:r>
    </w:p>
    <w:p w14:paraId="6D4BB32C">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如果在油面层的铣刨顶面存在裂缝，铣刨面清理干净后先对裂缝进行灌缝封闭。</w:t>
      </w:r>
    </w:p>
    <w:p w14:paraId="04F17FCF">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4、</w:t>
      </w:r>
      <w:r>
        <w:rPr>
          <w:rFonts w:hint="eastAsia" w:ascii="仿宋" w:hAnsi="仿宋" w:eastAsia="仿宋" w:cs="仿宋"/>
          <w:color w:val="auto"/>
          <w:highlight w:val="none"/>
        </w:rPr>
        <w:t>沥青混合料拌合与摊铺</w:t>
      </w:r>
    </w:p>
    <w:p w14:paraId="3F2C07CB">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（1）拌和生产</w:t>
      </w:r>
    </w:p>
    <w:p w14:paraId="1FEAAFCA">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正式施工前需对拌和机的计量系统进行校准，保证计量的准确对机械传动和传送部分进行检修和润滑，保证生产的稳定和连续对除尘设备进行检修。对需要更换的耗件进行更换；施工温度控制为：石料加热温度180℃～190℃；沥青加热温度165℃～175℃；拌和温度170℃～180℃；有效拌和时间30s～45s。</w:t>
      </w:r>
    </w:p>
    <w:p w14:paraId="42B137EA">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（2）运输</w:t>
      </w:r>
    </w:p>
    <w:p w14:paraId="56DFDB13">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根据运距、拌和产量配备数量足够的自卸汽车。汽车应有紧密、清洁、光滑的金属底板和墙板，底板应涂一薄层适宜的防粘剂，但不得有残余液积留在车箱底部。防粘剂可以采用洗衣粉水、废机油水等，但不宜采用柴油水混合液。汽车必须备有用于保温、防雨、防污染用的毡布，其大小应能完全覆盖整个车厢。装料时汽车应按照前、后、中的顺序来回移动，避免混合料级配离析。无论运距远近，无论气温高低，装完料后必须覆盖保温毡布，以防止混合料温度离析。</w:t>
      </w:r>
    </w:p>
    <w:p w14:paraId="4025BECB">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（3）摊铺碾压</w:t>
      </w:r>
    </w:p>
    <w:p w14:paraId="0A218609">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摊铺前应对摊铺机熨平板进行加热，在摊铺过程中，供料应及时，不得出现中途停机待料现象。摊铺机的熨平板或整平组件应能有效的摊铺出具有所需平整度和纹理的终饰表面，不会撕扯、推挤混合料造成孔洞、堆积现象。对于因路面结构层厚度变异性引起的铣刨深度变化情况，应将摊铺回补的第一层沥青混合料作为调平层，以保证上部混合料面层厚度。</w:t>
      </w:r>
    </w:p>
    <w:p w14:paraId="23F446C3">
      <w:pPr>
        <w:keepNext/>
        <w:keepLines/>
        <w:pageBreakBefore w:val="0"/>
        <w:widowControl w:val="0"/>
        <w:numPr>
          <w:ilvl w:val="0"/>
          <w:numId w:val="0"/>
        </w:numPr>
        <w:kinsoku/>
        <w:wordWrap/>
        <w:overflowPunct/>
        <w:topLinePunct w:val="0"/>
        <w:autoSpaceDE/>
        <w:autoSpaceDN/>
        <w:bidi w:val="0"/>
        <w:adjustRightInd/>
        <w:snapToGrid/>
        <w:ind w:leftChars="0"/>
        <w:jc w:val="left"/>
        <w:textAlignment w:val="auto"/>
        <w:outlineLvl w:val="2"/>
        <w:rPr>
          <w:rFonts w:hint="eastAsia" w:ascii="仿宋" w:hAnsi="仿宋" w:eastAsia="仿宋" w:cs="仿宋"/>
          <w:b/>
          <w:bCs/>
          <w:color w:val="auto"/>
          <w:szCs w:val="32"/>
          <w:highlight w:val="none"/>
          <w:lang w:val="en-US" w:eastAsia="zh-CN"/>
        </w:rPr>
      </w:pPr>
      <w:r>
        <w:rPr>
          <w:rFonts w:hint="eastAsia" w:ascii="仿宋" w:hAnsi="仿宋" w:eastAsia="仿宋" w:cs="仿宋"/>
          <w:b/>
          <w:bCs/>
          <w:color w:val="auto"/>
          <w:szCs w:val="32"/>
          <w:highlight w:val="none"/>
          <w:lang w:val="en-US" w:eastAsia="zh-CN"/>
        </w:rPr>
        <w:t>6.5.4粘层</w:t>
      </w:r>
    </w:p>
    <w:p w14:paraId="70719231">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（1）粘层应采用智型沥青洒布车作业。</w:t>
      </w:r>
    </w:p>
    <w:p w14:paraId="530E056C">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（2）粘层油宜在当天洒布，待稀释剂基本挥发完成后，紧跟着铺筑沥青层，确保粘层不受污染。</w:t>
      </w:r>
    </w:p>
    <w:p w14:paraId="4BFB8EBD">
      <w:pPr>
        <w:keepNext/>
        <w:keepLines/>
        <w:pageBreakBefore w:val="0"/>
        <w:widowControl w:val="0"/>
        <w:numPr>
          <w:ilvl w:val="0"/>
          <w:numId w:val="0"/>
        </w:numPr>
        <w:kinsoku/>
        <w:wordWrap/>
        <w:overflowPunct/>
        <w:topLinePunct w:val="0"/>
        <w:autoSpaceDE/>
        <w:autoSpaceDN/>
        <w:bidi w:val="0"/>
        <w:adjustRightInd/>
        <w:snapToGrid/>
        <w:ind w:leftChars="0"/>
        <w:jc w:val="left"/>
        <w:textAlignment w:val="auto"/>
        <w:outlineLvl w:val="2"/>
        <w:rPr>
          <w:rFonts w:hint="eastAsia" w:ascii="仿宋" w:hAnsi="仿宋" w:eastAsia="仿宋" w:cs="仿宋"/>
          <w:b/>
          <w:bCs/>
          <w:color w:val="auto"/>
          <w:szCs w:val="32"/>
          <w:highlight w:val="none"/>
          <w:lang w:val="en-US" w:eastAsia="zh-CN"/>
        </w:rPr>
      </w:pPr>
      <w:r>
        <w:rPr>
          <w:rFonts w:hint="eastAsia" w:ascii="仿宋" w:hAnsi="仿宋" w:eastAsia="仿宋" w:cs="仿宋"/>
          <w:b/>
          <w:bCs/>
          <w:color w:val="auto"/>
          <w:szCs w:val="32"/>
          <w:highlight w:val="none"/>
          <w:lang w:val="en-US" w:eastAsia="zh-CN"/>
        </w:rPr>
        <w:t>6.5.5其他要求</w:t>
      </w:r>
    </w:p>
    <w:p w14:paraId="1C05C940">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（1）施工过程中应对路面温度、压实度和平整度进行跟踪检测，保证施工过程中的质量，从而合理的指导施工。</w:t>
      </w:r>
    </w:p>
    <w:p w14:paraId="58552945">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2）接缝处理：新旧路面的横向接缝，可将压路机横向碾压，以10cm-20cm轮宽压实新路面，逐渐向新铺层碾压，直至全轮碾压到新路面上。新的路面的纵向接缝，可用同样方式进行碾压。对于单车道维修处治至原路面标高的路段，在新老路衔接处的纵缝上贴封水贴。</w:t>
      </w:r>
    </w:p>
    <w:p w14:paraId="5B9D5493">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（3）施工完后，应立即对施工区域进行清理，将所有废弃物堆放到指定地点，对路面造成污染的应清洗干净，恢复道路原有形象。</w:t>
      </w:r>
    </w:p>
    <w:p w14:paraId="6E4AF586">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（4）摊铺完成后应及时修复标线设施。</w:t>
      </w:r>
    </w:p>
    <w:p w14:paraId="38AA25C3">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（5）当新路面完全自然冷却，混合料表面温度低于50℃后，可以开放交通。</w:t>
      </w:r>
    </w:p>
    <w:p w14:paraId="3A93CEE8">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（6）严禁在沥青层上堆放施工用土或杂物，严禁在已铺沥青层上拌合水泥砂浆。</w:t>
      </w:r>
    </w:p>
    <w:p w14:paraId="1911F85E">
      <w:pPr>
        <w:keepNext/>
        <w:keepLines/>
        <w:pageBreakBefore w:val="0"/>
        <w:widowControl w:val="0"/>
        <w:numPr>
          <w:ilvl w:val="0"/>
          <w:numId w:val="0"/>
        </w:numPr>
        <w:kinsoku/>
        <w:wordWrap/>
        <w:overflowPunct/>
        <w:topLinePunct w:val="0"/>
        <w:autoSpaceDE/>
        <w:autoSpaceDN/>
        <w:bidi w:val="0"/>
        <w:adjustRightInd/>
        <w:snapToGrid/>
        <w:spacing w:line="360" w:lineRule="auto"/>
        <w:ind w:leftChars="0"/>
        <w:textAlignment w:val="auto"/>
        <w:outlineLvl w:val="1"/>
        <w:rPr>
          <w:rFonts w:hint="eastAsia" w:ascii="仿宋" w:hAnsi="仿宋" w:eastAsia="仿宋" w:cs="仿宋"/>
          <w:b/>
          <w:bCs/>
          <w:color w:val="auto"/>
          <w:sz w:val="28"/>
          <w:szCs w:val="28"/>
          <w:highlight w:val="none"/>
          <w:lang w:val="en-US" w:eastAsia="zh-CN"/>
        </w:rPr>
      </w:pPr>
      <w:r>
        <w:rPr>
          <w:rFonts w:hint="eastAsia" w:ascii="仿宋" w:hAnsi="仿宋" w:eastAsia="仿宋" w:cs="仿宋"/>
          <w:b/>
          <w:bCs/>
          <w:color w:val="auto"/>
          <w:sz w:val="28"/>
          <w:szCs w:val="28"/>
          <w:highlight w:val="none"/>
          <w:lang w:val="en-US" w:eastAsia="zh-CN"/>
        </w:rPr>
        <w:t>6.6 人行道铺装施工要点</w:t>
      </w:r>
      <w:bookmarkEnd w:id="92"/>
      <w:bookmarkEnd w:id="93"/>
    </w:p>
    <w:bookmarkEnd w:id="94"/>
    <w:bookmarkEnd w:id="95"/>
    <w:bookmarkEnd w:id="96"/>
    <w:bookmarkEnd w:id="97"/>
    <w:bookmarkEnd w:id="98"/>
    <w:bookmarkEnd w:id="99"/>
    <w:bookmarkEnd w:id="100"/>
    <w:bookmarkEnd w:id="101"/>
    <w:bookmarkEnd w:id="102"/>
    <w:p w14:paraId="33B99DFC">
      <w:pPr>
        <w:pStyle w:val="5"/>
        <w:pageBreakBefore w:val="0"/>
        <w:numPr>
          <w:ilvl w:val="2"/>
          <w:numId w:val="0"/>
        </w:numPr>
        <w:kinsoku/>
        <w:wordWrap/>
        <w:overflowPunct/>
        <w:topLinePunct w:val="0"/>
        <w:autoSpaceDE/>
        <w:autoSpaceDN/>
        <w:bidi w:val="0"/>
        <w:adjustRightInd/>
        <w:snapToGrid/>
        <w:spacing w:line="360" w:lineRule="auto"/>
        <w:jc w:val="left"/>
        <w:textAlignment w:val="auto"/>
        <w:rPr>
          <w:rFonts w:hint="eastAsia" w:ascii="仿宋" w:hAnsi="仿宋" w:eastAsia="仿宋" w:cs="仿宋"/>
          <w:color w:val="auto"/>
          <w:sz w:val="24"/>
          <w:szCs w:val="24"/>
          <w:highlight w:val="none"/>
          <w:lang w:val="en-US" w:eastAsia="zh-CN"/>
        </w:rPr>
      </w:pPr>
      <w:bookmarkStart w:id="103" w:name="_Toc1809"/>
      <w:bookmarkStart w:id="104" w:name="_Toc16369"/>
      <w:r>
        <w:rPr>
          <w:rFonts w:hint="eastAsia" w:ascii="仿宋" w:hAnsi="仿宋" w:eastAsia="仿宋" w:cs="仿宋"/>
          <w:color w:val="auto"/>
          <w:sz w:val="24"/>
          <w:szCs w:val="24"/>
          <w:highlight w:val="none"/>
          <w:lang w:val="en-US" w:eastAsia="zh-CN"/>
        </w:rPr>
        <w:t>6.6.1人行道透水砖</w:t>
      </w:r>
    </w:p>
    <w:p w14:paraId="623D4016">
      <w:pPr>
        <w:pStyle w:val="22"/>
        <w:pageBreakBefore w:val="0"/>
        <w:kinsoku/>
        <w:wordWrap/>
        <w:overflowPunct/>
        <w:autoSpaceDE/>
        <w:autoSpaceDN/>
        <w:bidi w:val="0"/>
        <w:adjustRightInd/>
        <w:snapToGrid/>
        <w:spacing w:line="360" w:lineRule="auto"/>
        <w:ind w:firstLine="560"/>
        <w:jc w:val="left"/>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人行道采用</w:t>
      </w:r>
      <w:r>
        <w:rPr>
          <w:rFonts w:hint="eastAsia" w:ascii="仿宋" w:hAnsi="仿宋" w:eastAsia="仿宋" w:cs="仿宋"/>
          <w:color w:val="auto"/>
          <w:sz w:val="24"/>
          <w:szCs w:val="24"/>
          <w:highlight w:val="none"/>
          <w:lang w:eastAsia="zh-CN"/>
        </w:rPr>
        <w:t>灰色透水砖</w:t>
      </w:r>
      <w:r>
        <w:rPr>
          <w:rFonts w:hint="eastAsia" w:ascii="仿宋" w:hAnsi="仿宋" w:eastAsia="仿宋" w:cs="仿宋"/>
          <w:color w:val="auto"/>
          <w:sz w:val="24"/>
          <w:szCs w:val="24"/>
          <w:highlight w:val="none"/>
        </w:rPr>
        <w:t>,尺寸为</w:t>
      </w:r>
      <w:r>
        <w:rPr>
          <w:rFonts w:hint="eastAsia" w:ascii="仿宋" w:hAnsi="仿宋" w:eastAsia="仿宋" w:cs="仿宋"/>
          <w:color w:val="auto"/>
          <w:sz w:val="24"/>
          <w:szCs w:val="24"/>
          <w:highlight w:val="none"/>
          <w:lang w:eastAsia="zh-CN"/>
        </w:rPr>
        <w:t>20×10×6cm</w:t>
      </w:r>
      <w:r>
        <w:rPr>
          <w:rFonts w:hint="eastAsia" w:ascii="仿宋" w:hAnsi="仿宋" w:eastAsia="仿宋" w:cs="仿宋"/>
          <w:color w:val="auto"/>
          <w:sz w:val="24"/>
          <w:szCs w:val="24"/>
          <w:highlight w:val="none"/>
        </w:rPr>
        <w:t>，抗压强度不小于Cc</w:t>
      </w:r>
      <w:r>
        <w:rPr>
          <w:rFonts w:hint="eastAsia" w:ascii="仿宋" w:hAnsi="仿宋" w:eastAsia="仿宋" w:cs="仿宋"/>
          <w:color w:val="auto"/>
          <w:sz w:val="24"/>
          <w:szCs w:val="24"/>
          <w:highlight w:val="none"/>
          <w:lang w:val="en-US" w:eastAsia="zh-CN"/>
        </w:rPr>
        <w:t>40</w:t>
      </w:r>
      <w:r>
        <w:rPr>
          <w:rFonts w:hint="eastAsia" w:ascii="仿宋" w:hAnsi="仿宋" w:eastAsia="仿宋" w:cs="仿宋"/>
          <w:color w:val="auto"/>
          <w:sz w:val="24"/>
          <w:szCs w:val="24"/>
          <w:highlight w:val="none"/>
        </w:rPr>
        <w:t>，抗折强度不小于Cf4.0，防滑等级为R3，相应防滑性能指标为BPN≥65。透水砖表面不得有蜂窝、露石、脱皮、裂缝等现象，透水砖必须表面平整，色彩均匀线路清晰、棱角整齐。人行道方块采用挤浆法安砌，无缝搭接，不得有翘动现象，不得有积水现象，在交叉口处须设置残疾人坡道。</w:t>
      </w:r>
    </w:p>
    <w:p w14:paraId="58910477">
      <w:pPr>
        <w:pStyle w:val="5"/>
        <w:pageBreakBefore w:val="0"/>
        <w:numPr>
          <w:ilvl w:val="2"/>
          <w:numId w:val="0"/>
        </w:numPr>
        <w:kinsoku/>
        <w:wordWrap/>
        <w:overflowPunct/>
        <w:autoSpaceDE/>
        <w:autoSpaceDN/>
        <w:bidi w:val="0"/>
        <w:adjustRightInd/>
        <w:snapToGrid/>
        <w:spacing w:line="360" w:lineRule="auto"/>
        <w:jc w:val="left"/>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6.6.2人行道土基质量</w:t>
      </w:r>
    </w:p>
    <w:p w14:paraId="440030FB">
      <w:pPr>
        <w:keepNext w:val="0"/>
        <w:keepLines w:val="0"/>
        <w:pageBreakBefore w:val="0"/>
        <w:widowControl w:val="0"/>
        <w:tabs>
          <w:tab w:val="right" w:leader="dot" w:pos="8647"/>
        </w:tabs>
        <w:kinsoku/>
        <w:wordWrap/>
        <w:overflowPunct/>
        <w:topLinePunct w:val="0"/>
        <w:autoSpaceDE/>
        <w:autoSpaceDN/>
        <w:bidi w:val="0"/>
        <w:adjustRightInd/>
        <w:snapToGrid/>
        <w:spacing w:line="360" w:lineRule="auto"/>
        <w:ind w:firstLine="480" w:firstLineChars="200"/>
        <w:jc w:val="left"/>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土基抗压回弹模量Eo不小于</w:t>
      </w:r>
      <w:r>
        <w:rPr>
          <w:rFonts w:hint="eastAsia" w:ascii="仿宋" w:hAnsi="仿宋" w:eastAsia="仿宋" w:cs="仿宋"/>
          <w:color w:val="auto"/>
          <w:sz w:val="24"/>
          <w:szCs w:val="24"/>
          <w:highlight w:val="none"/>
          <w:lang w:val="en-US" w:eastAsia="zh-CN"/>
        </w:rPr>
        <w:t>20</w:t>
      </w:r>
      <w:r>
        <w:rPr>
          <w:rFonts w:hint="eastAsia" w:ascii="仿宋" w:hAnsi="仿宋" w:eastAsia="仿宋" w:cs="仿宋"/>
          <w:color w:val="auto"/>
          <w:sz w:val="24"/>
          <w:szCs w:val="24"/>
          <w:highlight w:val="none"/>
        </w:rPr>
        <w:t>MPa.</w:t>
      </w:r>
    </w:p>
    <w:p w14:paraId="02ED09EB">
      <w:pPr>
        <w:keepNext w:val="0"/>
        <w:keepLines w:val="0"/>
        <w:pageBreakBefore w:val="0"/>
        <w:widowControl w:val="0"/>
        <w:tabs>
          <w:tab w:val="right" w:leader="dot" w:pos="8647"/>
        </w:tabs>
        <w:kinsoku/>
        <w:wordWrap/>
        <w:overflowPunct/>
        <w:topLinePunct w:val="0"/>
        <w:autoSpaceDE/>
        <w:autoSpaceDN/>
        <w:bidi w:val="0"/>
        <w:adjustRightInd/>
        <w:snapToGrid/>
        <w:spacing w:line="360" w:lineRule="auto"/>
        <w:ind w:firstLine="480" w:firstLineChars="200"/>
        <w:jc w:val="left"/>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土基压实度不小于93%。</w:t>
      </w:r>
    </w:p>
    <w:p w14:paraId="1A013CCD">
      <w:pPr>
        <w:pStyle w:val="5"/>
        <w:pageBreakBefore w:val="0"/>
        <w:numPr>
          <w:ilvl w:val="2"/>
          <w:numId w:val="0"/>
        </w:numPr>
        <w:kinsoku/>
        <w:wordWrap/>
        <w:overflowPunct/>
        <w:autoSpaceDE/>
        <w:autoSpaceDN/>
        <w:bidi w:val="0"/>
        <w:adjustRightInd/>
        <w:snapToGrid/>
        <w:spacing w:line="360" w:lineRule="auto"/>
        <w:jc w:val="left"/>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6.6.3水泥稳定级配碎石基层</w:t>
      </w:r>
    </w:p>
    <w:p w14:paraId="363BE68E">
      <w:pPr>
        <w:bidi w:val="0"/>
        <w:rPr>
          <w:rFonts w:hint="eastAsia" w:cs="Times New Roman"/>
          <w:color w:val="auto"/>
          <w:highlight w:val="none"/>
          <w:lang w:eastAsia="zh-CN"/>
        </w:rPr>
      </w:pPr>
      <w:r>
        <w:rPr>
          <w:rFonts w:hint="eastAsia"/>
          <w:color w:val="auto"/>
          <w:highlight w:val="none"/>
          <w:lang w:eastAsia="zh-CN"/>
        </w:rPr>
        <w:t>土基</w:t>
      </w:r>
      <w:r>
        <w:rPr>
          <w:rFonts w:hint="eastAsia"/>
          <w:color w:val="auto"/>
          <w:highlight w:val="none"/>
        </w:rPr>
        <w:t>通过验收后，方可进行基层施工，基层为4%水泥稳定级配碎石基层，水泥掺量按</w:t>
      </w:r>
      <w:r>
        <w:rPr>
          <w:rFonts w:hint="eastAsia"/>
          <w:color w:val="auto"/>
          <w:highlight w:val="none"/>
          <w:lang w:val="en-US" w:eastAsia="zh-CN"/>
        </w:rPr>
        <w:t>4</w:t>
      </w:r>
      <w:r>
        <w:rPr>
          <w:rFonts w:hint="eastAsia"/>
          <w:color w:val="auto"/>
          <w:highlight w:val="none"/>
        </w:rPr>
        <w:t>％进行试配</w:t>
      </w:r>
      <w:r>
        <w:rPr>
          <w:rFonts w:hint="eastAsia" w:cs="Times New Roman"/>
          <w:color w:val="auto"/>
          <w:highlight w:val="none"/>
          <w:lang w:eastAsia="zh-CN"/>
        </w:rPr>
        <w:t>，以达到技术指标的水泥掺量值控制施工。厚度为</w:t>
      </w:r>
      <w:r>
        <w:rPr>
          <w:rFonts w:hint="eastAsia" w:cs="Times New Roman"/>
          <w:color w:val="auto"/>
          <w:highlight w:val="none"/>
          <w:lang w:val="en-US" w:eastAsia="zh-CN"/>
        </w:rPr>
        <w:t>15</w:t>
      </w:r>
      <w:r>
        <w:rPr>
          <w:rFonts w:hint="eastAsia" w:cs="Times New Roman"/>
          <w:color w:val="auto"/>
          <w:highlight w:val="none"/>
          <w:lang w:eastAsia="zh-CN"/>
        </w:rPr>
        <w:t>cm。</w:t>
      </w:r>
    </w:p>
    <w:p w14:paraId="672BDFDD">
      <w:pPr>
        <w:bidi w:val="0"/>
        <w:rPr>
          <w:rFonts w:hint="eastAsia" w:cs="Times New Roman"/>
          <w:color w:val="auto"/>
          <w:highlight w:val="none"/>
          <w:lang w:eastAsia="zh-CN"/>
        </w:rPr>
      </w:pPr>
      <w:r>
        <w:rPr>
          <w:rFonts w:hint="eastAsia" w:cs="Times New Roman"/>
          <w:color w:val="auto"/>
          <w:highlight w:val="none"/>
          <w:lang w:val="en-US" w:eastAsia="zh-CN"/>
        </w:rPr>
        <w:t>（1）</w:t>
      </w:r>
      <w:r>
        <w:rPr>
          <w:rFonts w:hint="eastAsia" w:cs="Times New Roman"/>
          <w:color w:val="auto"/>
          <w:highlight w:val="none"/>
          <w:lang w:eastAsia="zh-CN"/>
        </w:rPr>
        <w:t>质量标准</w:t>
      </w:r>
    </w:p>
    <w:p w14:paraId="7045C942">
      <w:pPr>
        <w:bidi w:val="0"/>
        <w:rPr>
          <w:rFonts w:hint="eastAsia" w:cs="Times New Roman"/>
          <w:color w:val="auto"/>
          <w:highlight w:val="none"/>
          <w:lang w:eastAsia="zh-CN"/>
        </w:rPr>
      </w:pPr>
      <w:r>
        <w:rPr>
          <w:rFonts w:hint="eastAsia" w:cs="Times New Roman"/>
          <w:color w:val="auto"/>
          <w:highlight w:val="none"/>
          <w:lang w:eastAsia="zh-CN"/>
        </w:rPr>
        <w:t>压实度（重型击实标准）：≥9</w:t>
      </w:r>
      <w:r>
        <w:rPr>
          <w:rFonts w:hint="eastAsia" w:cs="Times New Roman"/>
          <w:color w:val="auto"/>
          <w:highlight w:val="none"/>
          <w:lang w:val="en-US" w:eastAsia="zh-CN"/>
        </w:rPr>
        <w:t>8</w:t>
      </w:r>
      <w:r>
        <w:rPr>
          <w:rFonts w:hint="eastAsia" w:cs="Times New Roman"/>
          <w:color w:val="auto"/>
          <w:highlight w:val="none"/>
          <w:lang w:eastAsia="zh-CN"/>
        </w:rPr>
        <w:t xml:space="preserve">%    路床平整度：≤12mm </w:t>
      </w:r>
    </w:p>
    <w:p w14:paraId="0993DD9D">
      <w:pPr>
        <w:bidi w:val="0"/>
        <w:rPr>
          <w:rFonts w:hint="eastAsia" w:cs="Times New Roman"/>
          <w:color w:val="auto"/>
          <w:highlight w:val="none"/>
          <w:lang w:eastAsia="zh-CN"/>
        </w:rPr>
      </w:pPr>
      <w:r>
        <w:rPr>
          <w:rFonts w:hint="eastAsia" w:cs="Times New Roman"/>
          <w:color w:val="auto"/>
          <w:highlight w:val="none"/>
          <w:lang w:eastAsia="zh-CN"/>
        </w:rPr>
        <w:t xml:space="preserve">厚度容许偏差：-15               中线高程：+5，-15mm  </w:t>
      </w:r>
    </w:p>
    <w:p w14:paraId="5E23CA25">
      <w:pPr>
        <w:bidi w:val="0"/>
        <w:rPr>
          <w:rFonts w:hint="eastAsia" w:cs="Times New Roman"/>
          <w:color w:val="auto"/>
          <w:highlight w:val="none"/>
          <w:lang w:eastAsia="zh-CN"/>
        </w:rPr>
      </w:pPr>
      <w:r>
        <w:rPr>
          <w:rFonts w:hint="eastAsia" w:cs="Times New Roman"/>
          <w:color w:val="auto"/>
          <w:highlight w:val="none"/>
          <w:lang w:eastAsia="zh-CN"/>
        </w:rPr>
        <w:t xml:space="preserve">宽度：不小于设计宽度            横坡：±0.5% 且不反坡      </w:t>
      </w:r>
    </w:p>
    <w:p w14:paraId="029E8F58">
      <w:pPr>
        <w:bidi w:val="0"/>
        <w:rPr>
          <w:rFonts w:hint="eastAsia" w:cs="Times New Roman"/>
          <w:color w:val="auto"/>
          <w:highlight w:val="none"/>
          <w:lang w:eastAsia="zh-CN"/>
        </w:rPr>
      </w:pPr>
      <w:r>
        <w:rPr>
          <w:rFonts w:hint="eastAsia" w:cs="Times New Roman"/>
          <w:color w:val="auto"/>
          <w:highlight w:val="none"/>
          <w:lang w:eastAsia="zh-CN"/>
        </w:rPr>
        <w:t>7天无侧限抗压强度：</w:t>
      </w:r>
      <w:r>
        <w:rPr>
          <w:rFonts w:hint="eastAsia" w:cs="Times New Roman"/>
          <w:color w:val="auto"/>
          <w:highlight w:val="none"/>
          <w:lang w:val="en-US" w:eastAsia="zh-CN"/>
        </w:rPr>
        <w:t>3.0</w:t>
      </w:r>
      <w:r>
        <w:rPr>
          <w:rFonts w:hint="eastAsia" w:cs="Times New Roman"/>
          <w:color w:val="auto"/>
          <w:highlight w:val="none"/>
          <w:lang w:eastAsia="zh-CN"/>
        </w:rPr>
        <w:t>～4.0Mpa   弯沉值≤41(0.01mm)</w:t>
      </w:r>
    </w:p>
    <w:p w14:paraId="003BD472">
      <w:pPr>
        <w:bidi w:val="0"/>
        <w:rPr>
          <w:rFonts w:hint="eastAsia" w:cs="Times New Roman"/>
          <w:color w:val="auto"/>
          <w:highlight w:val="none"/>
          <w:lang w:eastAsia="zh-CN"/>
        </w:rPr>
      </w:pPr>
      <w:r>
        <w:rPr>
          <w:rFonts w:hint="eastAsia" w:cs="Times New Roman"/>
          <w:color w:val="auto"/>
          <w:highlight w:val="none"/>
          <w:lang w:val="en-US" w:eastAsia="zh-CN"/>
        </w:rPr>
        <w:t>（2）</w:t>
      </w:r>
      <w:r>
        <w:rPr>
          <w:rFonts w:hint="eastAsia" w:cs="Times New Roman"/>
          <w:color w:val="auto"/>
          <w:highlight w:val="none"/>
          <w:lang w:eastAsia="zh-CN"/>
        </w:rPr>
        <w:t>材料要求</w:t>
      </w:r>
    </w:p>
    <w:p w14:paraId="7C6F9B5B">
      <w:pPr>
        <w:bidi w:val="0"/>
        <w:rPr>
          <w:rFonts w:hint="eastAsia" w:cs="Times New Roman"/>
          <w:color w:val="auto"/>
          <w:highlight w:val="none"/>
          <w:lang w:eastAsia="zh-CN"/>
        </w:rPr>
      </w:pPr>
      <w:r>
        <w:rPr>
          <w:rFonts w:hint="eastAsia" w:cs="Times New Roman"/>
          <w:color w:val="auto"/>
          <w:highlight w:val="none"/>
          <w:lang w:eastAsia="zh-CN"/>
        </w:rPr>
        <w:t>水泥稳定级配碎石基层中，水泥掺量为4%，水泥材料要求采用普通硅酸盐水泥、矿渣硅酸盐水泥和火山灰质硅酸盐水泥，应选用初凝时间3h以上和中凝时间在10h以上的水泥，碎石应选择质坚干净的粒料，其最大粒径不宜超过3</w:t>
      </w:r>
      <w:r>
        <w:rPr>
          <w:rFonts w:hint="eastAsia" w:cs="Times New Roman"/>
          <w:color w:val="auto"/>
          <w:highlight w:val="none"/>
          <w:lang w:val="en-US" w:eastAsia="zh-CN"/>
        </w:rPr>
        <w:t>1</w:t>
      </w:r>
      <w:r>
        <w:rPr>
          <w:rFonts w:hint="eastAsia" w:cs="Times New Roman"/>
          <w:color w:val="auto"/>
          <w:highlight w:val="none"/>
          <w:lang w:eastAsia="zh-CN"/>
        </w:rPr>
        <w:t>.5mm，级配组成如下表：</w:t>
      </w:r>
    </w:p>
    <w:p w14:paraId="35B36303">
      <w:pPr>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仿宋" w:hAnsi="仿宋" w:eastAsia="仿宋" w:cs="仿宋"/>
          <w:color w:val="auto"/>
          <w:highlight w:val="none"/>
        </w:rPr>
      </w:pPr>
      <w:r>
        <w:rPr>
          <w:rFonts w:hint="eastAsia" w:ascii="仿宋" w:hAnsi="仿宋" w:eastAsia="仿宋" w:cs="仿宋"/>
          <w:color w:val="auto"/>
          <w:highlight w:val="none"/>
        </w:rPr>
        <w:t>水泥稳定级配类的粒料范围及技术指标</w:t>
      </w:r>
    </w:p>
    <w:tbl>
      <w:tblPr>
        <w:tblStyle w:val="88"/>
        <w:tblW w:w="4999"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40" w:type="dxa"/>
          <w:bottom w:w="0" w:type="dxa"/>
          <w:right w:w="40" w:type="dxa"/>
        </w:tblCellMar>
      </w:tblPr>
      <w:tblGrid>
        <w:gridCol w:w="2744"/>
        <w:gridCol w:w="3575"/>
        <w:gridCol w:w="2183"/>
        <w:gridCol w:w="2190"/>
      </w:tblGrid>
      <w:tr w14:paraId="6C38EF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40" w:type="dxa"/>
            <w:bottom w:w="0" w:type="dxa"/>
            <w:right w:w="40" w:type="dxa"/>
          </w:tblCellMar>
        </w:tblPrEx>
        <w:trPr>
          <w:trHeight w:val="360" w:hRule="atLeast"/>
          <w:tblHeader/>
          <w:jc w:val="center"/>
        </w:trPr>
        <w:tc>
          <w:tcPr>
            <w:tcW w:w="1283" w:type="pct"/>
            <w:vMerge w:val="restart"/>
            <w:shd w:val="clear" w:color="auto" w:fill="auto"/>
            <w:vAlign w:val="center"/>
          </w:tcPr>
          <w:p w14:paraId="0A092F84">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序号</w:t>
            </w:r>
          </w:p>
        </w:tc>
        <w:tc>
          <w:tcPr>
            <w:tcW w:w="1672" w:type="pct"/>
            <w:vMerge w:val="restart"/>
            <w:shd w:val="clear" w:color="auto" w:fill="auto"/>
            <w:vAlign w:val="center"/>
          </w:tcPr>
          <w:p w14:paraId="364A43A6">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筛孔尺寸(mm)</w:t>
            </w:r>
          </w:p>
        </w:tc>
        <w:tc>
          <w:tcPr>
            <w:tcW w:w="2044" w:type="pct"/>
            <w:gridSpan w:val="2"/>
            <w:shd w:val="clear" w:color="auto" w:fill="auto"/>
            <w:vAlign w:val="center"/>
          </w:tcPr>
          <w:p w14:paraId="2E36005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通过质量百分率%</w:t>
            </w:r>
          </w:p>
        </w:tc>
      </w:tr>
      <w:tr w14:paraId="1774C5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40" w:type="dxa"/>
            <w:bottom w:w="0" w:type="dxa"/>
            <w:right w:w="40" w:type="dxa"/>
          </w:tblCellMar>
        </w:tblPrEx>
        <w:trPr>
          <w:trHeight w:val="360" w:hRule="atLeast"/>
          <w:tblHeader/>
          <w:jc w:val="center"/>
        </w:trPr>
        <w:tc>
          <w:tcPr>
            <w:tcW w:w="1283" w:type="pct"/>
            <w:vMerge w:val="continue"/>
            <w:shd w:val="clear" w:color="auto" w:fill="auto"/>
            <w:vAlign w:val="center"/>
          </w:tcPr>
          <w:p w14:paraId="2C43034E">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p>
        </w:tc>
        <w:tc>
          <w:tcPr>
            <w:tcW w:w="1672" w:type="pct"/>
            <w:vMerge w:val="continue"/>
            <w:shd w:val="clear" w:color="auto" w:fill="auto"/>
            <w:vAlign w:val="center"/>
          </w:tcPr>
          <w:p w14:paraId="5BB1EA4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p>
        </w:tc>
        <w:tc>
          <w:tcPr>
            <w:tcW w:w="1021" w:type="pct"/>
            <w:shd w:val="clear" w:color="auto" w:fill="auto"/>
            <w:vAlign w:val="center"/>
          </w:tcPr>
          <w:p w14:paraId="665BF1E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基层</w:t>
            </w:r>
          </w:p>
        </w:tc>
        <w:tc>
          <w:tcPr>
            <w:tcW w:w="1022" w:type="pct"/>
            <w:shd w:val="clear" w:color="auto" w:fill="auto"/>
            <w:vAlign w:val="center"/>
          </w:tcPr>
          <w:p w14:paraId="68AA8D4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底基层</w:t>
            </w:r>
          </w:p>
        </w:tc>
      </w:tr>
      <w:tr w14:paraId="03B4F54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40" w:type="dxa"/>
            <w:bottom w:w="0" w:type="dxa"/>
            <w:right w:w="40" w:type="dxa"/>
          </w:tblCellMar>
        </w:tblPrEx>
        <w:trPr>
          <w:trHeight w:val="360" w:hRule="atLeast"/>
          <w:jc w:val="center"/>
        </w:trPr>
        <w:tc>
          <w:tcPr>
            <w:tcW w:w="2620" w:type="dxa"/>
            <w:shd w:val="clear" w:color="auto" w:fill="auto"/>
            <w:vAlign w:val="center"/>
          </w:tcPr>
          <w:p w14:paraId="704BD147">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1</w:t>
            </w:r>
          </w:p>
        </w:tc>
        <w:tc>
          <w:tcPr>
            <w:tcW w:w="3415" w:type="dxa"/>
            <w:shd w:val="clear" w:color="auto" w:fill="auto"/>
            <w:vAlign w:val="center"/>
          </w:tcPr>
          <w:p w14:paraId="20AC4886">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37.5</w:t>
            </w:r>
          </w:p>
        </w:tc>
        <w:tc>
          <w:tcPr>
            <w:tcW w:w="2085" w:type="dxa"/>
            <w:shd w:val="clear" w:color="auto" w:fill="auto"/>
            <w:vAlign w:val="center"/>
          </w:tcPr>
          <w:p w14:paraId="6C17F44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p>
        </w:tc>
        <w:tc>
          <w:tcPr>
            <w:tcW w:w="2092" w:type="dxa"/>
            <w:shd w:val="clear" w:color="auto" w:fill="auto"/>
            <w:vAlign w:val="center"/>
          </w:tcPr>
          <w:p w14:paraId="1345C4E7">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100</w:t>
            </w:r>
          </w:p>
        </w:tc>
      </w:tr>
      <w:tr w14:paraId="1DB3CDF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40" w:type="dxa"/>
            <w:bottom w:w="0" w:type="dxa"/>
            <w:right w:w="40" w:type="dxa"/>
          </w:tblCellMar>
        </w:tblPrEx>
        <w:trPr>
          <w:trHeight w:val="360" w:hRule="atLeast"/>
          <w:jc w:val="center"/>
        </w:trPr>
        <w:tc>
          <w:tcPr>
            <w:tcW w:w="2620" w:type="dxa"/>
            <w:shd w:val="clear" w:color="auto" w:fill="auto"/>
            <w:vAlign w:val="center"/>
          </w:tcPr>
          <w:p w14:paraId="66C99281">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2</w:t>
            </w:r>
          </w:p>
        </w:tc>
        <w:tc>
          <w:tcPr>
            <w:tcW w:w="3415" w:type="dxa"/>
            <w:shd w:val="clear" w:color="auto" w:fill="auto"/>
            <w:vAlign w:val="center"/>
          </w:tcPr>
          <w:p w14:paraId="2A5C5A10">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31.5</w:t>
            </w:r>
          </w:p>
        </w:tc>
        <w:tc>
          <w:tcPr>
            <w:tcW w:w="2085" w:type="dxa"/>
            <w:shd w:val="clear" w:color="auto" w:fill="auto"/>
            <w:vAlign w:val="center"/>
          </w:tcPr>
          <w:p w14:paraId="6DDF548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100</w:t>
            </w:r>
          </w:p>
        </w:tc>
        <w:tc>
          <w:tcPr>
            <w:tcW w:w="2092" w:type="dxa"/>
            <w:shd w:val="clear" w:color="auto" w:fill="auto"/>
            <w:vAlign w:val="center"/>
          </w:tcPr>
          <w:p w14:paraId="7ACF904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90～100</w:t>
            </w:r>
          </w:p>
        </w:tc>
      </w:tr>
      <w:tr w14:paraId="1F49ED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40" w:type="dxa"/>
            <w:bottom w:w="0" w:type="dxa"/>
            <w:right w:w="40" w:type="dxa"/>
          </w:tblCellMar>
        </w:tblPrEx>
        <w:trPr>
          <w:trHeight w:val="360" w:hRule="atLeast"/>
          <w:jc w:val="center"/>
        </w:trPr>
        <w:tc>
          <w:tcPr>
            <w:tcW w:w="2620" w:type="dxa"/>
            <w:shd w:val="clear" w:color="auto" w:fill="auto"/>
            <w:vAlign w:val="center"/>
          </w:tcPr>
          <w:p w14:paraId="68950DFE">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3</w:t>
            </w:r>
          </w:p>
        </w:tc>
        <w:tc>
          <w:tcPr>
            <w:tcW w:w="3415" w:type="dxa"/>
            <w:shd w:val="clear" w:color="auto" w:fill="auto"/>
            <w:vAlign w:val="center"/>
          </w:tcPr>
          <w:p w14:paraId="4CCA5921">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26.5</w:t>
            </w:r>
          </w:p>
        </w:tc>
        <w:tc>
          <w:tcPr>
            <w:tcW w:w="2085" w:type="dxa"/>
            <w:shd w:val="clear" w:color="auto" w:fill="auto"/>
            <w:vAlign w:val="center"/>
          </w:tcPr>
          <w:p w14:paraId="36D653A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90～100</w:t>
            </w:r>
          </w:p>
        </w:tc>
        <w:tc>
          <w:tcPr>
            <w:tcW w:w="2092" w:type="dxa"/>
            <w:shd w:val="clear" w:color="auto" w:fill="auto"/>
            <w:vAlign w:val="center"/>
          </w:tcPr>
          <w:p w14:paraId="432BFBA5">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p>
        </w:tc>
      </w:tr>
      <w:tr w14:paraId="29861F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40" w:type="dxa"/>
            <w:bottom w:w="0" w:type="dxa"/>
            <w:right w:w="40" w:type="dxa"/>
          </w:tblCellMar>
        </w:tblPrEx>
        <w:trPr>
          <w:trHeight w:val="360" w:hRule="atLeast"/>
          <w:jc w:val="center"/>
        </w:trPr>
        <w:tc>
          <w:tcPr>
            <w:tcW w:w="2620" w:type="dxa"/>
            <w:shd w:val="clear" w:color="auto" w:fill="auto"/>
            <w:vAlign w:val="center"/>
          </w:tcPr>
          <w:p w14:paraId="52062367">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4</w:t>
            </w:r>
          </w:p>
        </w:tc>
        <w:tc>
          <w:tcPr>
            <w:tcW w:w="3415" w:type="dxa"/>
            <w:shd w:val="clear" w:color="auto" w:fill="auto"/>
            <w:vAlign w:val="center"/>
          </w:tcPr>
          <w:p w14:paraId="23A86405">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19</w:t>
            </w:r>
          </w:p>
        </w:tc>
        <w:tc>
          <w:tcPr>
            <w:tcW w:w="2085" w:type="dxa"/>
            <w:shd w:val="clear" w:color="auto" w:fill="auto"/>
            <w:vAlign w:val="center"/>
          </w:tcPr>
          <w:p w14:paraId="7467E16E">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72～89</w:t>
            </w:r>
          </w:p>
        </w:tc>
        <w:tc>
          <w:tcPr>
            <w:tcW w:w="2092" w:type="dxa"/>
            <w:shd w:val="clear" w:color="auto" w:fill="auto"/>
            <w:vAlign w:val="center"/>
          </w:tcPr>
          <w:p w14:paraId="506744C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67～90</w:t>
            </w:r>
          </w:p>
        </w:tc>
      </w:tr>
      <w:tr w14:paraId="49DE813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40" w:type="dxa"/>
            <w:bottom w:w="0" w:type="dxa"/>
            <w:right w:w="40" w:type="dxa"/>
          </w:tblCellMar>
        </w:tblPrEx>
        <w:trPr>
          <w:trHeight w:val="360" w:hRule="atLeast"/>
          <w:jc w:val="center"/>
        </w:trPr>
        <w:tc>
          <w:tcPr>
            <w:tcW w:w="2620" w:type="dxa"/>
            <w:shd w:val="clear" w:color="auto" w:fill="auto"/>
            <w:vAlign w:val="center"/>
          </w:tcPr>
          <w:p w14:paraId="09E08051">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5</w:t>
            </w:r>
          </w:p>
        </w:tc>
        <w:tc>
          <w:tcPr>
            <w:tcW w:w="3415" w:type="dxa"/>
            <w:shd w:val="clear" w:color="auto" w:fill="auto"/>
            <w:vAlign w:val="center"/>
          </w:tcPr>
          <w:p w14:paraId="0987E986">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9.5</w:t>
            </w:r>
          </w:p>
        </w:tc>
        <w:tc>
          <w:tcPr>
            <w:tcW w:w="2085" w:type="dxa"/>
            <w:shd w:val="clear" w:color="auto" w:fill="auto"/>
            <w:vAlign w:val="center"/>
          </w:tcPr>
          <w:p w14:paraId="1A9BC6E0">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47～67</w:t>
            </w:r>
          </w:p>
        </w:tc>
        <w:tc>
          <w:tcPr>
            <w:tcW w:w="2092" w:type="dxa"/>
            <w:shd w:val="clear" w:color="auto" w:fill="auto"/>
            <w:vAlign w:val="center"/>
          </w:tcPr>
          <w:p w14:paraId="255047B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45～68</w:t>
            </w:r>
          </w:p>
        </w:tc>
      </w:tr>
      <w:tr w14:paraId="18BABC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40" w:type="dxa"/>
            <w:bottom w:w="0" w:type="dxa"/>
            <w:right w:w="40" w:type="dxa"/>
          </w:tblCellMar>
        </w:tblPrEx>
        <w:trPr>
          <w:trHeight w:val="360" w:hRule="atLeast"/>
          <w:jc w:val="center"/>
        </w:trPr>
        <w:tc>
          <w:tcPr>
            <w:tcW w:w="2620" w:type="dxa"/>
            <w:shd w:val="clear" w:color="auto" w:fill="auto"/>
            <w:vAlign w:val="center"/>
          </w:tcPr>
          <w:p w14:paraId="65EBD55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6</w:t>
            </w:r>
          </w:p>
        </w:tc>
        <w:tc>
          <w:tcPr>
            <w:tcW w:w="3415" w:type="dxa"/>
            <w:shd w:val="clear" w:color="auto" w:fill="auto"/>
            <w:vAlign w:val="center"/>
          </w:tcPr>
          <w:p w14:paraId="0AD409E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4.75</w:t>
            </w:r>
          </w:p>
        </w:tc>
        <w:tc>
          <w:tcPr>
            <w:tcW w:w="2085" w:type="dxa"/>
            <w:shd w:val="clear" w:color="auto" w:fill="auto"/>
            <w:vAlign w:val="center"/>
          </w:tcPr>
          <w:p w14:paraId="1008407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29～49</w:t>
            </w:r>
          </w:p>
        </w:tc>
        <w:tc>
          <w:tcPr>
            <w:tcW w:w="2092" w:type="dxa"/>
            <w:shd w:val="clear" w:color="auto" w:fill="auto"/>
            <w:vAlign w:val="center"/>
          </w:tcPr>
          <w:p w14:paraId="66559266">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29～50</w:t>
            </w:r>
          </w:p>
        </w:tc>
      </w:tr>
      <w:tr w14:paraId="0260CA4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40" w:type="dxa"/>
            <w:bottom w:w="0" w:type="dxa"/>
            <w:right w:w="40" w:type="dxa"/>
          </w:tblCellMar>
        </w:tblPrEx>
        <w:trPr>
          <w:trHeight w:val="360" w:hRule="atLeast"/>
          <w:jc w:val="center"/>
        </w:trPr>
        <w:tc>
          <w:tcPr>
            <w:tcW w:w="2620" w:type="dxa"/>
            <w:shd w:val="clear" w:color="auto" w:fill="auto"/>
            <w:vAlign w:val="center"/>
          </w:tcPr>
          <w:p w14:paraId="18118AE4">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7</w:t>
            </w:r>
          </w:p>
        </w:tc>
        <w:tc>
          <w:tcPr>
            <w:tcW w:w="3415" w:type="dxa"/>
            <w:shd w:val="clear" w:color="auto" w:fill="auto"/>
            <w:vAlign w:val="center"/>
          </w:tcPr>
          <w:p w14:paraId="13C06B3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2.36</w:t>
            </w:r>
          </w:p>
        </w:tc>
        <w:tc>
          <w:tcPr>
            <w:tcW w:w="2085" w:type="dxa"/>
            <w:shd w:val="clear" w:color="auto" w:fill="auto"/>
            <w:vAlign w:val="center"/>
          </w:tcPr>
          <w:p w14:paraId="16FC7FB6">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17～35</w:t>
            </w:r>
          </w:p>
        </w:tc>
        <w:tc>
          <w:tcPr>
            <w:tcW w:w="2092" w:type="dxa"/>
            <w:shd w:val="clear" w:color="auto" w:fill="auto"/>
            <w:vAlign w:val="center"/>
          </w:tcPr>
          <w:p w14:paraId="7D6BD85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18～38</w:t>
            </w:r>
          </w:p>
        </w:tc>
      </w:tr>
      <w:tr w14:paraId="3D72B8A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40" w:type="dxa"/>
            <w:bottom w:w="0" w:type="dxa"/>
            <w:right w:w="40" w:type="dxa"/>
          </w:tblCellMar>
        </w:tblPrEx>
        <w:trPr>
          <w:trHeight w:val="360" w:hRule="atLeast"/>
          <w:jc w:val="center"/>
        </w:trPr>
        <w:tc>
          <w:tcPr>
            <w:tcW w:w="2620" w:type="dxa"/>
            <w:shd w:val="clear" w:color="auto" w:fill="auto"/>
            <w:vAlign w:val="center"/>
          </w:tcPr>
          <w:p w14:paraId="57A09F57">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8</w:t>
            </w:r>
          </w:p>
        </w:tc>
        <w:tc>
          <w:tcPr>
            <w:tcW w:w="3415" w:type="dxa"/>
            <w:shd w:val="clear" w:color="auto" w:fill="auto"/>
            <w:vAlign w:val="center"/>
          </w:tcPr>
          <w:p w14:paraId="30B2BC85">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0.6</w:t>
            </w:r>
          </w:p>
        </w:tc>
        <w:tc>
          <w:tcPr>
            <w:tcW w:w="2085" w:type="dxa"/>
            <w:shd w:val="clear" w:color="auto" w:fill="auto"/>
            <w:vAlign w:val="center"/>
          </w:tcPr>
          <w:p w14:paraId="73419F23">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8～22</w:t>
            </w:r>
          </w:p>
        </w:tc>
        <w:tc>
          <w:tcPr>
            <w:tcW w:w="2092" w:type="dxa"/>
            <w:shd w:val="clear" w:color="auto" w:fill="auto"/>
            <w:vAlign w:val="center"/>
          </w:tcPr>
          <w:p w14:paraId="62B8C83D">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8～22</w:t>
            </w:r>
          </w:p>
        </w:tc>
      </w:tr>
      <w:tr w14:paraId="4BE91B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40" w:type="dxa"/>
            <w:bottom w:w="0" w:type="dxa"/>
            <w:right w:w="40" w:type="dxa"/>
          </w:tblCellMar>
        </w:tblPrEx>
        <w:trPr>
          <w:trHeight w:val="360" w:hRule="atLeast"/>
          <w:jc w:val="center"/>
        </w:trPr>
        <w:tc>
          <w:tcPr>
            <w:tcW w:w="2620" w:type="dxa"/>
            <w:shd w:val="clear" w:color="auto" w:fill="auto"/>
            <w:vAlign w:val="center"/>
          </w:tcPr>
          <w:p w14:paraId="3C791958">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9</w:t>
            </w:r>
          </w:p>
        </w:tc>
        <w:tc>
          <w:tcPr>
            <w:tcW w:w="3415" w:type="dxa"/>
            <w:shd w:val="clear" w:color="auto" w:fill="auto"/>
            <w:vAlign w:val="center"/>
          </w:tcPr>
          <w:p w14:paraId="0EB0116F">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0.075</w:t>
            </w:r>
          </w:p>
        </w:tc>
        <w:tc>
          <w:tcPr>
            <w:tcW w:w="2085" w:type="dxa"/>
            <w:shd w:val="clear" w:color="auto" w:fill="auto"/>
            <w:vAlign w:val="center"/>
          </w:tcPr>
          <w:p w14:paraId="7F198254">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0～7</w:t>
            </w:r>
          </w:p>
        </w:tc>
        <w:tc>
          <w:tcPr>
            <w:tcW w:w="2092" w:type="dxa"/>
            <w:shd w:val="clear" w:color="auto" w:fill="auto"/>
            <w:vAlign w:val="center"/>
          </w:tcPr>
          <w:p w14:paraId="4C3E4AA0">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0～7</w:t>
            </w:r>
          </w:p>
        </w:tc>
      </w:tr>
      <w:tr w14:paraId="07339ED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40" w:type="dxa"/>
            <w:bottom w:w="0" w:type="dxa"/>
            <w:right w:w="40" w:type="dxa"/>
          </w:tblCellMar>
        </w:tblPrEx>
        <w:trPr>
          <w:trHeight w:val="360" w:hRule="atLeast"/>
          <w:jc w:val="center"/>
        </w:trPr>
        <w:tc>
          <w:tcPr>
            <w:tcW w:w="2620" w:type="dxa"/>
            <w:shd w:val="clear" w:color="auto" w:fill="auto"/>
            <w:vAlign w:val="center"/>
          </w:tcPr>
          <w:p w14:paraId="69CCB989">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液限（%）</w:t>
            </w:r>
          </w:p>
        </w:tc>
        <w:tc>
          <w:tcPr>
            <w:tcW w:w="3415" w:type="dxa"/>
            <w:shd w:val="clear" w:color="auto" w:fill="auto"/>
            <w:vAlign w:val="center"/>
          </w:tcPr>
          <w:p w14:paraId="607A35D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p>
        </w:tc>
        <w:tc>
          <w:tcPr>
            <w:tcW w:w="2085" w:type="dxa"/>
            <w:shd w:val="clear" w:color="auto" w:fill="auto"/>
            <w:vAlign w:val="center"/>
          </w:tcPr>
          <w:p w14:paraId="1890B61E">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p>
        </w:tc>
        <w:tc>
          <w:tcPr>
            <w:tcW w:w="2092" w:type="dxa"/>
            <w:shd w:val="clear" w:color="auto" w:fill="auto"/>
            <w:vAlign w:val="center"/>
          </w:tcPr>
          <w:p w14:paraId="33C8AA7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＜28</w:t>
            </w:r>
          </w:p>
        </w:tc>
      </w:tr>
      <w:tr w14:paraId="019EDDD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40" w:type="dxa"/>
            <w:bottom w:w="0" w:type="dxa"/>
            <w:right w:w="40" w:type="dxa"/>
          </w:tblCellMar>
        </w:tblPrEx>
        <w:trPr>
          <w:trHeight w:val="360" w:hRule="atLeast"/>
          <w:jc w:val="center"/>
        </w:trPr>
        <w:tc>
          <w:tcPr>
            <w:tcW w:w="2620" w:type="dxa"/>
            <w:tcBorders>
              <w:bottom w:val="single" w:color="auto" w:sz="12" w:space="0"/>
            </w:tcBorders>
            <w:shd w:val="clear" w:color="auto" w:fill="auto"/>
            <w:vAlign w:val="center"/>
          </w:tcPr>
          <w:p w14:paraId="62127FDC">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塑性指数</w:t>
            </w:r>
          </w:p>
        </w:tc>
        <w:tc>
          <w:tcPr>
            <w:tcW w:w="3415" w:type="dxa"/>
            <w:tcBorders>
              <w:bottom w:val="single" w:color="auto" w:sz="12" w:space="0"/>
            </w:tcBorders>
            <w:shd w:val="clear" w:color="auto" w:fill="auto"/>
            <w:vAlign w:val="center"/>
          </w:tcPr>
          <w:p w14:paraId="38288365">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p>
        </w:tc>
        <w:tc>
          <w:tcPr>
            <w:tcW w:w="2085" w:type="dxa"/>
            <w:tcBorders>
              <w:bottom w:val="single" w:color="auto" w:sz="12" w:space="0"/>
            </w:tcBorders>
            <w:shd w:val="clear" w:color="auto" w:fill="auto"/>
            <w:vAlign w:val="center"/>
          </w:tcPr>
          <w:p w14:paraId="3E2E6D27">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p>
        </w:tc>
        <w:tc>
          <w:tcPr>
            <w:tcW w:w="2092" w:type="dxa"/>
            <w:tcBorders>
              <w:bottom w:val="single" w:color="auto" w:sz="12" w:space="0"/>
            </w:tcBorders>
            <w:shd w:val="clear" w:color="auto" w:fill="auto"/>
            <w:vAlign w:val="center"/>
          </w:tcPr>
          <w:p w14:paraId="34AA7A27">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fr-FR"/>
              </w:rPr>
              <w:t>＜9</w:t>
            </w:r>
          </w:p>
        </w:tc>
      </w:tr>
      <w:tr w14:paraId="133C643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40" w:type="dxa"/>
            <w:bottom w:w="0" w:type="dxa"/>
            <w:right w:w="40" w:type="dxa"/>
          </w:tblCellMar>
        </w:tblPrEx>
        <w:trPr>
          <w:trHeight w:val="360" w:hRule="atLeast"/>
          <w:jc w:val="center"/>
        </w:trPr>
        <w:tc>
          <w:tcPr>
            <w:tcW w:w="5000" w:type="pct"/>
            <w:gridSpan w:val="4"/>
            <w:tcBorders>
              <w:top w:val="single" w:color="auto" w:sz="12" w:space="0"/>
              <w:left w:val="nil"/>
              <w:bottom w:val="nil"/>
              <w:right w:val="nil"/>
            </w:tcBorders>
            <w:shd w:val="clear" w:color="auto" w:fill="auto"/>
            <w:vAlign w:val="center"/>
          </w:tcPr>
          <w:p w14:paraId="4162F43E">
            <w:pPr>
              <w:keepNext w:val="0"/>
              <w:keepLines w:val="0"/>
              <w:pageBreakBefore w:val="0"/>
              <w:widowControl w:val="0"/>
              <w:kinsoku/>
              <w:wordWrap/>
              <w:overflowPunct/>
              <w:topLinePunct w:val="0"/>
              <w:autoSpaceDE/>
              <w:autoSpaceDN/>
              <w:bidi w:val="0"/>
              <w:adjustRightInd/>
              <w:snapToGrid/>
              <w:ind w:firstLine="0" w:firstLineChars="0"/>
              <w:textAlignment w:val="auto"/>
              <w:rPr>
                <w:color w:val="auto"/>
                <w:highlight w:val="none"/>
              </w:rPr>
            </w:pPr>
            <w:r>
              <w:rPr>
                <w:rFonts w:hint="eastAsia"/>
                <w:color w:val="auto"/>
                <w:highlight w:val="none"/>
              </w:rPr>
              <w:t>注：①水泥稳定级配碎石基层中集料压碎值不大于30%；②本标准采用《重庆市城市道路工程施工质量验收规范》（DBJ50/T-078-2016）。</w:t>
            </w:r>
          </w:p>
        </w:tc>
      </w:tr>
    </w:tbl>
    <w:p w14:paraId="616F6F3F">
      <w:pPr>
        <w:bidi w:val="0"/>
        <w:rPr>
          <w:rFonts w:hint="default" w:cs="Times New Roman"/>
          <w:color w:val="auto"/>
          <w:highlight w:val="none"/>
          <w:lang w:val="en-US" w:eastAsia="zh-CN"/>
        </w:rPr>
      </w:pPr>
      <w:r>
        <w:rPr>
          <w:rFonts w:hint="eastAsia" w:cs="Times New Roman"/>
          <w:color w:val="auto"/>
          <w:highlight w:val="none"/>
          <w:lang w:val="en-US" w:eastAsia="zh-CN"/>
        </w:rPr>
        <w:t>用于基层的集料应满足下表所列性能要求：</w:t>
      </w:r>
    </w:p>
    <w:p w14:paraId="48F9257E">
      <w:pPr>
        <w:bidi w:val="0"/>
        <w:ind w:left="0" w:leftChars="0" w:firstLine="0" w:firstLineChars="0"/>
        <w:jc w:val="center"/>
        <w:rPr>
          <w:rFonts w:hint="eastAsia" w:cs="Times New Roman"/>
          <w:color w:val="auto"/>
          <w:highlight w:val="none"/>
          <w:lang w:val="en-US" w:eastAsia="zh-CN"/>
        </w:rPr>
      </w:pPr>
      <w:r>
        <w:rPr>
          <w:rFonts w:hint="eastAsia" w:cs="Times New Roman"/>
          <w:color w:val="auto"/>
          <w:highlight w:val="none"/>
          <w:lang w:val="en-US" w:eastAsia="zh-CN"/>
        </w:rPr>
        <w:t>基层材料性能要求</w:t>
      </w:r>
    </w:p>
    <w:tbl>
      <w:tblPr>
        <w:tblStyle w:val="88"/>
        <w:tblW w:w="4653" w:type="pct"/>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3238"/>
        <w:gridCol w:w="3420"/>
        <w:gridCol w:w="3420"/>
      </w:tblGrid>
      <w:tr w14:paraId="2DB3FD0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62" w:hRule="exact"/>
          <w:jc w:val="center"/>
        </w:trPr>
        <w:tc>
          <w:tcPr>
            <w:tcW w:w="1606" w:type="pct"/>
            <w:noWrap w:val="0"/>
            <w:vAlign w:val="center"/>
          </w:tcPr>
          <w:p w14:paraId="63DD6270">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eastAsia="zh-CN"/>
              </w:rPr>
            </w:pPr>
            <w:r>
              <w:rPr>
                <w:rFonts w:hint="eastAsia" w:ascii="仿宋" w:hAnsi="仿宋" w:eastAsia="仿宋" w:cs="仿宋"/>
                <w:color w:val="auto"/>
                <w:sz w:val="24"/>
                <w:szCs w:val="24"/>
                <w:highlight w:val="none"/>
                <w:lang w:val="en-US" w:eastAsia="zh-CN"/>
              </w:rPr>
              <w:t>道路等级</w:t>
            </w:r>
          </w:p>
        </w:tc>
        <w:tc>
          <w:tcPr>
            <w:tcW w:w="1696" w:type="pct"/>
            <w:noWrap w:val="0"/>
            <w:vAlign w:val="center"/>
          </w:tcPr>
          <w:p w14:paraId="3BAD57DB">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eastAsia="zh-CN"/>
              </w:rPr>
            </w:pPr>
            <w:r>
              <w:rPr>
                <w:rFonts w:hint="eastAsia" w:ascii="仿宋" w:hAnsi="仿宋" w:eastAsia="仿宋" w:cs="仿宋"/>
                <w:color w:val="auto"/>
                <w:sz w:val="24"/>
                <w:szCs w:val="24"/>
                <w:highlight w:val="none"/>
                <w:lang w:val="en-US" w:eastAsia="zh-CN"/>
              </w:rPr>
              <w:t>基层</w:t>
            </w:r>
          </w:p>
        </w:tc>
        <w:tc>
          <w:tcPr>
            <w:tcW w:w="1696" w:type="pct"/>
            <w:noWrap w:val="0"/>
            <w:vAlign w:val="center"/>
          </w:tcPr>
          <w:p w14:paraId="2910AED6">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底基层</w:t>
            </w:r>
          </w:p>
        </w:tc>
      </w:tr>
      <w:tr w14:paraId="7BB04AA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62" w:hRule="exact"/>
          <w:jc w:val="center"/>
        </w:trPr>
        <w:tc>
          <w:tcPr>
            <w:tcW w:w="1606" w:type="pct"/>
            <w:noWrap w:val="0"/>
            <w:vAlign w:val="center"/>
          </w:tcPr>
          <w:p w14:paraId="2B919ADE">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en-US" w:eastAsia="zh-CN"/>
              </w:rPr>
              <w:t>快速路、主干路（</w:t>
            </w:r>
            <w:r>
              <w:rPr>
                <w:rFonts w:hint="eastAsia" w:ascii="仿宋" w:hAnsi="仿宋" w:eastAsia="仿宋" w:cs="仿宋"/>
                <w:color w:val="auto"/>
                <w:sz w:val="24"/>
                <w:szCs w:val="24"/>
                <w:highlight w:val="none"/>
                <w:lang w:val="fr-FR"/>
              </w:rPr>
              <w:t>%</w:t>
            </w:r>
            <w:r>
              <w:rPr>
                <w:rFonts w:hint="eastAsia" w:ascii="仿宋" w:hAnsi="仿宋" w:eastAsia="仿宋" w:cs="仿宋"/>
                <w:color w:val="auto"/>
                <w:sz w:val="24"/>
                <w:szCs w:val="24"/>
                <w:highlight w:val="none"/>
                <w:lang w:val="en-US" w:eastAsia="zh-CN"/>
              </w:rPr>
              <w:t>）</w:t>
            </w:r>
          </w:p>
        </w:tc>
        <w:tc>
          <w:tcPr>
            <w:tcW w:w="1696" w:type="pct"/>
            <w:noWrap w:val="0"/>
            <w:vAlign w:val="center"/>
          </w:tcPr>
          <w:p w14:paraId="25416D0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default"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fr-FR"/>
              </w:rPr>
              <w:t>≤</w:t>
            </w:r>
            <w:r>
              <w:rPr>
                <w:rFonts w:hint="eastAsia" w:ascii="仿宋" w:hAnsi="仿宋" w:eastAsia="仿宋" w:cs="仿宋"/>
                <w:color w:val="auto"/>
                <w:sz w:val="24"/>
                <w:szCs w:val="24"/>
                <w:highlight w:val="none"/>
                <w:lang w:val="en-US" w:eastAsia="zh-CN"/>
              </w:rPr>
              <w:t>26</w:t>
            </w:r>
          </w:p>
        </w:tc>
        <w:tc>
          <w:tcPr>
            <w:tcW w:w="1696" w:type="pct"/>
            <w:noWrap w:val="0"/>
            <w:vAlign w:val="center"/>
          </w:tcPr>
          <w:p w14:paraId="26B74B3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default"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fr-FR"/>
              </w:rPr>
              <w:t>≤</w:t>
            </w:r>
            <w:r>
              <w:rPr>
                <w:rFonts w:hint="eastAsia" w:ascii="仿宋" w:hAnsi="仿宋" w:eastAsia="仿宋" w:cs="仿宋"/>
                <w:color w:val="auto"/>
                <w:sz w:val="24"/>
                <w:szCs w:val="24"/>
                <w:highlight w:val="none"/>
                <w:lang w:val="en-US" w:eastAsia="zh-CN"/>
              </w:rPr>
              <w:t>30</w:t>
            </w:r>
          </w:p>
        </w:tc>
      </w:tr>
      <w:tr w14:paraId="12C1D24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07" w:hRule="exact"/>
          <w:jc w:val="center"/>
        </w:trPr>
        <w:tc>
          <w:tcPr>
            <w:tcW w:w="1606" w:type="pct"/>
            <w:noWrap w:val="0"/>
            <w:vAlign w:val="center"/>
          </w:tcPr>
          <w:p w14:paraId="04FD9382">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rPr>
            </w:pPr>
            <w:r>
              <w:rPr>
                <w:rFonts w:hint="eastAsia" w:ascii="仿宋" w:hAnsi="仿宋" w:eastAsia="仿宋" w:cs="仿宋"/>
                <w:color w:val="auto"/>
                <w:sz w:val="24"/>
                <w:szCs w:val="24"/>
                <w:highlight w:val="none"/>
                <w:lang w:val="en-US" w:eastAsia="zh-CN"/>
              </w:rPr>
              <w:t>其他道路（</w:t>
            </w:r>
            <w:r>
              <w:rPr>
                <w:rFonts w:hint="eastAsia" w:ascii="仿宋" w:hAnsi="仿宋" w:eastAsia="仿宋" w:cs="仿宋"/>
                <w:color w:val="auto"/>
                <w:sz w:val="24"/>
                <w:szCs w:val="24"/>
                <w:highlight w:val="none"/>
                <w:lang w:val="fr-FR"/>
              </w:rPr>
              <w:t>%</w:t>
            </w:r>
            <w:r>
              <w:rPr>
                <w:rFonts w:hint="eastAsia" w:ascii="仿宋" w:hAnsi="仿宋" w:eastAsia="仿宋" w:cs="仿宋"/>
                <w:color w:val="auto"/>
                <w:sz w:val="24"/>
                <w:szCs w:val="24"/>
                <w:highlight w:val="none"/>
                <w:lang w:val="en-US" w:eastAsia="zh-CN"/>
              </w:rPr>
              <w:t>）</w:t>
            </w:r>
          </w:p>
        </w:tc>
        <w:tc>
          <w:tcPr>
            <w:tcW w:w="1696" w:type="pct"/>
            <w:noWrap w:val="0"/>
            <w:vAlign w:val="center"/>
          </w:tcPr>
          <w:p w14:paraId="6ACE0BE0">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fr-FR" w:eastAsia="zh-CN"/>
              </w:rPr>
            </w:pPr>
            <w:r>
              <w:rPr>
                <w:rFonts w:hint="eastAsia" w:ascii="仿宋" w:hAnsi="仿宋" w:eastAsia="仿宋" w:cs="仿宋"/>
                <w:color w:val="auto"/>
                <w:sz w:val="24"/>
                <w:szCs w:val="24"/>
                <w:highlight w:val="none"/>
                <w:lang w:val="fr-FR"/>
              </w:rPr>
              <w:t>≤3</w:t>
            </w:r>
            <w:r>
              <w:rPr>
                <w:rFonts w:hint="eastAsia" w:ascii="仿宋" w:hAnsi="仿宋" w:eastAsia="仿宋" w:cs="仿宋"/>
                <w:color w:val="auto"/>
                <w:sz w:val="24"/>
                <w:szCs w:val="24"/>
                <w:highlight w:val="none"/>
                <w:lang w:val="en-US" w:eastAsia="zh-CN"/>
              </w:rPr>
              <w:t>0</w:t>
            </w:r>
          </w:p>
        </w:tc>
        <w:tc>
          <w:tcPr>
            <w:tcW w:w="1696" w:type="pct"/>
            <w:noWrap w:val="0"/>
            <w:vAlign w:val="center"/>
          </w:tcPr>
          <w:p w14:paraId="0867AC3A">
            <w:pPr>
              <w:keepNext w:val="0"/>
              <w:keepLines w:val="0"/>
              <w:pageBreakBefore w:val="0"/>
              <w:widowControl w:val="0"/>
              <w:kinsoku/>
              <w:wordWrap/>
              <w:overflowPunct/>
              <w:topLinePunct/>
              <w:autoSpaceDE/>
              <w:autoSpaceDN/>
              <w:bidi w:val="0"/>
              <w:adjustRightInd/>
              <w:snapToGrid/>
              <w:spacing w:line="36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fr-FR"/>
              </w:rPr>
              <w:t>≤3</w:t>
            </w:r>
            <w:r>
              <w:rPr>
                <w:rFonts w:hint="eastAsia" w:ascii="仿宋" w:hAnsi="仿宋" w:eastAsia="仿宋" w:cs="仿宋"/>
                <w:color w:val="auto"/>
                <w:sz w:val="24"/>
                <w:szCs w:val="24"/>
                <w:highlight w:val="none"/>
                <w:lang w:val="en-US" w:eastAsia="zh-CN"/>
              </w:rPr>
              <w:t>5</w:t>
            </w:r>
          </w:p>
        </w:tc>
      </w:tr>
    </w:tbl>
    <w:p w14:paraId="6D34EB2F">
      <w:pPr>
        <w:bidi w:val="0"/>
        <w:rPr>
          <w:rFonts w:hint="eastAsia" w:cs="Times New Roman"/>
          <w:color w:val="auto"/>
          <w:highlight w:val="none"/>
          <w:lang w:val="en-US" w:eastAsia="zh-CN"/>
        </w:rPr>
      </w:pPr>
      <w:r>
        <w:rPr>
          <w:rFonts w:hint="eastAsia" w:cs="Times New Roman"/>
          <w:color w:val="auto"/>
          <w:highlight w:val="none"/>
          <w:lang w:val="en-US" w:eastAsia="zh-CN"/>
        </w:rPr>
        <w:t>（3）施工要求</w:t>
      </w:r>
    </w:p>
    <w:p w14:paraId="7FDC55D8">
      <w:pPr>
        <w:bidi w:val="0"/>
        <w:rPr>
          <w:rFonts w:hint="eastAsia" w:cs="Times New Roman"/>
          <w:color w:val="auto"/>
          <w:highlight w:val="none"/>
          <w:lang w:val="en-US" w:eastAsia="zh-CN"/>
        </w:rPr>
      </w:pPr>
      <w:r>
        <w:rPr>
          <w:rFonts w:hint="eastAsia" w:cs="Times New Roman"/>
          <w:color w:val="auto"/>
          <w:highlight w:val="none"/>
          <w:lang w:val="en-US" w:eastAsia="zh-CN"/>
        </w:rPr>
        <w:t>1）水泥稳定级配碎石须用机械拌和摊铺及碾压。</w:t>
      </w:r>
    </w:p>
    <w:p w14:paraId="18B271ED">
      <w:pPr>
        <w:bidi w:val="0"/>
        <w:rPr>
          <w:rFonts w:hint="eastAsia" w:cs="Times New Roman"/>
          <w:color w:val="auto"/>
          <w:highlight w:val="none"/>
          <w:lang w:val="en-US" w:eastAsia="zh-CN"/>
        </w:rPr>
      </w:pPr>
      <w:r>
        <w:rPr>
          <w:rFonts w:hint="eastAsia" w:cs="Times New Roman"/>
          <w:color w:val="auto"/>
          <w:highlight w:val="none"/>
          <w:lang w:val="en-US" w:eastAsia="zh-CN"/>
        </w:rPr>
        <w:t>2）水泥稳定碎石施工配料必须准确，摊铺或拌和必须均匀，并应严格掌握厚度。</w:t>
      </w:r>
    </w:p>
    <w:p w14:paraId="7B16780B">
      <w:pPr>
        <w:bidi w:val="0"/>
        <w:rPr>
          <w:rFonts w:hint="eastAsia" w:cs="Times New Roman"/>
          <w:color w:val="auto"/>
          <w:highlight w:val="none"/>
          <w:lang w:val="en-US" w:eastAsia="zh-CN"/>
        </w:rPr>
      </w:pPr>
      <w:r>
        <w:rPr>
          <w:rFonts w:hint="eastAsia" w:cs="Times New Roman"/>
          <w:color w:val="auto"/>
          <w:highlight w:val="none"/>
          <w:lang w:val="en-US" w:eastAsia="zh-CN"/>
        </w:rPr>
        <w:t>3）分层铺筑时，每层压实厚度不小于10cm，压实遍数不小于6～8遍，至表面无明显轮迹为止。</w:t>
      </w:r>
    </w:p>
    <w:p w14:paraId="52030685">
      <w:pPr>
        <w:bidi w:val="0"/>
        <w:rPr>
          <w:rFonts w:hint="eastAsia" w:cs="Times New Roman"/>
          <w:color w:val="auto"/>
          <w:highlight w:val="none"/>
          <w:lang w:val="en-US" w:eastAsia="zh-CN"/>
        </w:rPr>
      </w:pPr>
      <w:r>
        <w:rPr>
          <w:rFonts w:hint="eastAsia" w:cs="Times New Roman"/>
          <w:color w:val="auto"/>
          <w:highlight w:val="none"/>
          <w:lang w:val="en-US" w:eastAsia="zh-CN"/>
        </w:rPr>
        <w:t>4）宜在夏季组织施工，最低气温要求5℃以上，压实后必须保湿养生。</w:t>
      </w:r>
    </w:p>
    <w:p w14:paraId="298A4325">
      <w:pPr>
        <w:bidi w:val="0"/>
        <w:rPr>
          <w:rFonts w:hint="eastAsia" w:cs="Times New Roman"/>
          <w:color w:val="auto"/>
          <w:highlight w:val="none"/>
          <w:lang w:val="en-US" w:eastAsia="zh-CN"/>
        </w:rPr>
      </w:pPr>
      <w:r>
        <w:rPr>
          <w:rFonts w:hint="eastAsia" w:cs="Times New Roman"/>
          <w:color w:val="auto"/>
          <w:highlight w:val="none"/>
          <w:lang w:val="en-US" w:eastAsia="zh-CN"/>
        </w:rPr>
        <w:t>5）基层施工应严格按《公路路面基层施工技术细则》(JTG/T F20-2015)执行。</w:t>
      </w:r>
    </w:p>
    <w:bookmarkEnd w:id="103"/>
    <w:bookmarkEnd w:id="104"/>
    <w:p w14:paraId="257F2028">
      <w:pPr>
        <w:keepNext/>
        <w:keepLines/>
        <w:pageBreakBefore w:val="0"/>
        <w:widowControl w:val="0"/>
        <w:numPr>
          <w:ilvl w:val="0"/>
          <w:numId w:val="0"/>
        </w:numPr>
        <w:kinsoku/>
        <w:wordWrap/>
        <w:overflowPunct/>
        <w:topLinePunct w:val="0"/>
        <w:autoSpaceDE/>
        <w:autoSpaceDN/>
        <w:bidi w:val="0"/>
        <w:adjustRightInd/>
        <w:snapToGrid/>
        <w:ind w:leftChars="0"/>
        <w:jc w:val="left"/>
        <w:textAlignment w:val="auto"/>
        <w:outlineLvl w:val="0"/>
        <w:rPr>
          <w:rFonts w:hint="eastAsia" w:ascii="仿宋" w:hAnsi="仿宋" w:eastAsia="仿宋" w:cs="仿宋"/>
          <w:b/>
          <w:bCs/>
          <w:color w:val="auto"/>
          <w:sz w:val="28"/>
          <w:szCs w:val="28"/>
          <w:highlight w:val="none"/>
          <w:lang w:val="en-US" w:eastAsia="zh-CN"/>
        </w:rPr>
      </w:pPr>
      <w:bookmarkStart w:id="105" w:name="_Toc93997408"/>
      <w:bookmarkStart w:id="106" w:name="_Toc498271595"/>
      <w:bookmarkStart w:id="107" w:name="_Toc93997342"/>
      <w:bookmarkStart w:id="108" w:name="_Toc86870126"/>
      <w:bookmarkStart w:id="109" w:name="_Toc16981"/>
      <w:bookmarkStart w:id="110" w:name="_Toc30072"/>
      <w:r>
        <w:rPr>
          <w:rFonts w:hint="eastAsia" w:ascii="仿宋" w:hAnsi="仿宋" w:eastAsia="仿宋" w:cs="仿宋"/>
          <w:b/>
          <w:bCs/>
          <w:color w:val="auto"/>
          <w:sz w:val="28"/>
          <w:szCs w:val="28"/>
          <w:highlight w:val="none"/>
          <w:lang w:val="en-US" w:eastAsia="zh-CN"/>
        </w:rPr>
        <w:t>7 施工期</w:t>
      </w:r>
      <w:bookmarkEnd w:id="105"/>
      <w:bookmarkEnd w:id="106"/>
      <w:bookmarkEnd w:id="107"/>
      <w:bookmarkEnd w:id="108"/>
      <w:r>
        <w:rPr>
          <w:rFonts w:hint="eastAsia" w:ascii="仿宋" w:hAnsi="仿宋" w:eastAsia="仿宋" w:cs="仿宋"/>
          <w:b/>
          <w:bCs/>
          <w:color w:val="auto"/>
          <w:sz w:val="28"/>
          <w:szCs w:val="28"/>
          <w:highlight w:val="none"/>
          <w:lang w:val="en-US" w:eastAsia="zh-CN"/>
        </w:rPr>
        <w:t>交通组织安全与环境保护措施</w:t>
      </w:r>
      <w:bookmarkEnd w:id="109"/>
      <w:bookmarkEnd w:id="110"/>
    </w:p>
    <w:p w14:paraId="0CB46A31">
      <w:pPr>
        <w:keepNext/>
        <w:keepLines/>
        <w:pageBreakBefore w:val="0"/>
        <w:widowControl w:val="0"/>
        <w:numPr>
          <w:ilvl w:val="0"/>
          <w:numId w:val="0"/>
        </w:numPr>
        <w:kinsoku/>
        <w:wordWrap/>
        <w:overflowPunct/>
        <w:topLinePunct w:val="0"/>
        <w:autoSpaceDE/>
        <w:autoSpaceDN/>
        <w:bidi w:val="0"/>
        <w:adjustRightInd/>
        <w:snapToGrid/>
        <w:spacing w:line="360" w:lineRule="auto"/>
        <w:ind w:leftChars="0"/>
        <w:jc w:val="left"/>
        <w:textAlignment w:val="auto"/>
        <w:outlineLvl w:val="1"/>
        <w:rPr>
          <w:rFonts w:hint="eastAsia" w:ascii="仿宋" w:hAnsi="仿宋" w:eastAsia="仿宋" w:cs="仿宋"/>
          <w:b/>
          <w:bCs/>
          <w:color w:val="auto"/>
          <w:sz w:val="28"/>
          <w:szCs w:val="28"/>
          <w:highlight w:val="none"/>
          <w:lang w:val="en-US" w:eastAsia="zh-CN"/>
        </w:rPr>
      </w:pPr>
      <w:bookmarkStart w:id="111" w:name="_Toc13313"/>
      <w:bookmarkStart w:id="112" w:name="_Toc22262"/>
      <w:r>
        <w:rPr>
          <w:rFonts w:hint="eastAsia" w:ascii="仿宋" w:hAnsi="仿宋" w:eastAsia="仿宋" w:cs="仿宋"/>
          <w:b/>
          <w:bCs/>
          <w:color w:val="auto"/>
          <w:sz w:val="28"/>
          <w:szCs w:val="28"/>
          <w:highlight w:val="none"/>
          <w:lang w:val="en-US" w:eastAsia="zh-CN"/>
        </w:rPr>
        <w:t>7.1施工交通组织方案</w:t>
      </w:r>
      <w:bookmarkEnd w:id="111"/>
      <w:bookmarkEnd w:id="112"/>
    </w:p>
    <w:p w14:paraId="62921DBF">
      <w:pPr>
        <w:keepNext/>
        <w:keepLines/>
        <w:pageBreakBefore w:val="0"/>
        <w:widowControl w:val="0"/>
        <w:numPr>
          <w:ilvl w:val="0"/>
          <w:numId w:val="0"/>
        </w:numPr>
        <w:kinsoku/>
        <w:wordWrap/>
        <w:overflowPunct/>
        <w:topLinePunct w:val="0"/>
        <w:autoSpaceDE/>
        <w:autoSpaceDN/>
        <w:bidi w:val="0"/>
        <w:adjustRightInd/>
        <w:snapToGrid/>
        <w:ind w:leftChars="0"/>
        <w:jc w:val="left"/>
        <w:textAlignment w:val="auto"/>
        <w:outlineLvl w:val="2"/>
        <w:rPr>
          <w:rFonts w:hint="eastAsia" w:ascii="仿宋" w:hAnsi="仿宋" w:eastAsia="仿宋" w:cs="仿宋"/>
          <w:b/>
          <w:bCs/>
          <w:color w:val="auto"/>
          <w:szCs w:val="32"/>
          <w:highlight w:val="none"/>
          <w:lang w:val="en-US" w:eastAsia="zh-CN"/>
        </w:rPr>
      </w:pPr>
      <w:r>
        <w:rPr>
          <w:rFonts w:hint="eastAsia" w:ascii="仿宋" w:hAnsi="仿宋" w:eastAsia="仿宋" w:cs="仿宋"/>
          <w:b/>
          <w:bCs/>
          <w:color w:val="auto"/>
          <w:szCs w:val="32"/>
          <w:highlight w:val="none"/>
          <w:lang w:val="en-US" w:eastAsia="zh-CN"/>
        </w:rPr>
        <w:t>7.1.1工程施工期间，保畅通交通组织原则</w:t>
      </w:r>
    </w:p>
    <w:p w14:paraId="1ECA9518">
      <w:pPr>
        <w:rPr>
          <w:rFonts w:hint="eastAsia" w:ascii="仿宋" w:hAnsi="仿宋" w:eastAsia="仿宋" w:cs="仿宋"/>
          <w:color w:val="auto"/>
          <w:highlight w:val="none"/>
        </w:rPr>
      </w:pPr>
      <w:r>
        <w:rPr>
          <w:rFonts w:hint="eastAsia" w:ascii="仿宋" w:hAnsi="仿宋" w:eastAsia="仿宋" w:cs="仿宋"/>
          <w:color w:val="auto"/>
          <w:highlight w:val="none"/>
        </w:rPr>
        <w:t>总体上采取“边施工、边通车”的原则。在施工前应该根据要求制定交通组织方案，</w:t>
      </w:r>
      <w:r>
        <w:rPr>
          <w:rFonts w:hint="eastAsia" w:ascii="仿宋" w:hAnsi="仿宋" w:eastAsia="仿宋" w:cs="仿宋"/>
          <w:color w:val="auto"/>
          <w:highlight w:val="none"/>
          <w:lang w:eastAsia="zh-CN"/>
        </w:rPr>
        <w:t>在</w:t>
      </w:r>
      <w:r>
        <w:rPr>
          <w:rFonts w:hint="eastAsia" w:ascii="仿宋" w:hAnsi="仿宋" w:eastAsia="仿宋" w:cs="仿宋"/>
          <w:color w:val="auto"/>
          <w:highlight w:val="none"/>
        </w:rPr>
        <w:t>交通部门批准后再实施。本项目道路车流量较大、车速较快，作业中施工单位应认真按照《公路养护安全作业规程》JTGH30-2015规定，做好施工中的安全工作和现场管理工作，努力杜绝事故的发生。在施工前，施工单位对交通安全临时设施及采取的安全措施等要做好充分的准备工作：</w:t>
      </w:r>
    </w:p>
    <w:p w14:paraId="0F98B911">
      <w:pPr>
        <w:rPr>
          <w:rFonts w:hint="eastAsia" w:ascii="仿宋" w:hAnsi="仿宋" w:eastAsia="仿宋" w:cs="仿宋"/>
          <w:color w:val="auto"/>
          <w:highlight w:val="none"/>
        </w:rPr>
      </w:pPr>
      <w:r>
        <w:rPr>
          <w:rFonts w:hint="eastAsia" w:ascii="仿宋" w:hAnsi="仿宋" w:eastAsia="仿宋" w:cs="仿宋"/>
          <w:color w:val="auto"/>
          <w:highlight w:val="none"/>
        </w:rPr>
        <w:t>(1)根据施工路段的交通流量情况合理安排施工计划，确定施工路段长度。</w:t>
      </w:r>
    </w:p>
    <w:p w14:paraId="2ACE6A09">
      <w:pPr>
        <w:rPr>
          <w:rFonts w:hint="eastAsia" w:ascii="仿宋" w:hAnsi="仿宋" w:eastAsia="仿宋" w:cs="仿宋"/>
          <w:color w:val="auto"/>
          <w:highlight w:val="none"/>
        </w:rPr>
      </w:pPr>
      <w:r>
        <w:rPr>
          <w:rFonts w:hint="eastAsia" w:ascii="仿宋" w:hAnsi="仿宋" w:eastAsia="仿宋" w:cs="仿宋"/>
          <w:color w:val="auto"/>
          <w:highlight w:val="none"/>
        </w:rPr>
        <w:t>(2)根据施工路段的交通情况，合理确定施工区限速等交通管制措施。其中施工区的限速选择应符合下列原则：(a)限制速度不能超过施工区的最大安全速度，施工区的最大安全速度与施工区人员活动、施工类型及道路的情况有关；（b）限制速度应考虑到路上通行的绝大多数车辆的速度，不宜过低；（c）限制速度宜统一，并提供给司机突发事件和对交通控制设施及人员指示的反应时间。</w:t>
      </w:r>
    </w:p>
    <w:p w14:paraId="4AADD792">
      <w:pPr>
        <w:rPr>
          <w:rFonts w:hint="eastAsia" w:ascii="仿宋" w:hAnsi="仿宋" w:eastAsia="仿宋" w:cs="仿宋"/>
          <w:color w:val="auto"/>
          <w:highlight w:val="none"/>
        </w:rPr>
      </w:pPr>
      <w:r>
        <w:rPr>
          <w:rFonts w:hint="eastAsia" w:ascii="仿宋" w:hAnsi="仿宋" w:eastAsia="仿宋" w:cs="仿宋"/>
          <w:color w:val="auto"/>
          <w:highlight w:val="none"/>
        </w:rPr>
        <w:t>(3)按预先确定的交通控制方案，合理布置施工区域交通安全标志。</w:t>
      </w:r>
    </w:p>
    <w:p w14:paraId="10AA6BB3">
      <w:pPr>
        <w:rPr>
          <w:rFonts w:hint="eastAsia" w:ascii="仿宋" w:hAnsi="仿宋" w:eastAsia="仿宋" w:cs="仿宋"/>
          <w:color w:val="auto"/>
          <w:highlight w:val="none"/>
        </w:rPr>
      </w:pPr>
      <w:r>
        <w:rPr>
          <w:rFonts w:hint="eastAsia" w:ascii="仿宋" w:hAnsi="仿宋" w:eastAsia="仿宋" w:cs="仿宋"/>
          <w:color w:val="auto"/>
          <w:highlight w:val="none"/>
        </w:rPr>
        <w:t>(4)施工前，应对所有施工人员进行安全教育，从思想上重视安全施工。特别要加强在公路内作业的安全注意事项的教育。</w:t>
      </w:r>
    </w:p>
    <w:p w14:paraId="066D445A">
      <w:pPr>
        <w:rPr>
          <w:rFonts w:hint="eastAsia" w:ascii="仿宋" w:hAnsi="仿宋" w:eastAsia="仿宋" w:cs="仿宋"/>
          <w:color w:val="auto"/>
          <w:highlight w:val="none"/>
        </w:rPr>
      </w:pPr>
      <w:r>
        <w:rPr>
          <w:rFonts w:hint="eastAsia" w:ascii="仿宋" w:hAnsi="仿宋" w:eastAsia="仿宋" w:cs="仿宋"/>
          <w:color w:val="auto"/>
          <w:highlight w:val="none"/>
        </w:rPr>
        <w:t>(5)对所有上路的施工机具(车辆)事先调试完毕，保障施工机具的正常运转。</w:t>
      </w:r>
    </w:p>
    <w:p w14:paraId="1B59F7C9">
      <w:pPr>
        <w:rPr>
          <w:rFonts w:hint="eastAsia" w:ascii="仿宋" w:hAnsi="仿宋" w:eastAsia="仿宋" w:cs="仿宋"/>
          <w:color w:val="auto"/>
          <w:highlight w:val="none"/>
        </w:rPr>
      </w:pPr>
      <w:r>
        <w:rPr>
          <w:rFonts w:hint="eastAsia" w:ascii="仿宋" w:hAnsi="仿宋" w:eastAsia="仿宋" w:cs="仿宋"/>
          <w:color w:val="auto"/>
          <w:highlight w:val="none"/>
        </w:rPr>
        <w:t>(6)施工区的基本区划。根据《公路养护安全作业规程》JTGH30-2015规定，在施工时为了保证给道路使用者和施工工人提供最大的安全保护，本路面改造工程的交通控制区，即施工作业控制区应设置（1）警示区—→（2）前渐变区—→（3）缓冲区—→（4）作业区—→（5）后渐变区—→（6）终止区六个区段。作业控制区示意图如下：</w:t>
      </w:r>
    </w:p>
    <w:p w14:paraId="30450FAF">
      <w:pPr>
        <w:jc w:val="center"/>
        <w:rPr>
          <w:rFonts w:hint="eastAsia" w:ascii="仿宋" w:hAnsi="仿宋" w:eastAsia="仿宋" w:cs="仿宋"/>
          <w:color w:val="auto"/>
          <w:highlight w:val="none"/>
        </w:rPr>
      </w:pPr>
      <w:r>
        <w:rPr>
          <w:rFonts w:hint="eastAsia" w:ascii="仿宋" w:hAnsi="仿宋" w:eastAsia="仿宋" w:cs="仿宋"/>
          <w:color w:val="auto"/>
          <w:highlight w:val="none"/>
        </w:rPr>
        <w:pict>
          <v:group id="Group 1673" o:spid="_x0000_s1241" o:spt="203" style="height:149.8pt;width:422.55pt;" coordorigin="2832,2640" coordsize="6573,2737">
            <o:lock v:ext="edit"/>
            <v:line id="Line 1674" o:spid="_x0000_s1242" o:spt="20" style="position:absolute;left:2832;top:2640;height:1;width:4851;" coordsize="21600,21600">
              <v:path arrowok="t"/>
              <v:fill focussize="0,0"/>
              <v:stroke/>
              <v:imagedata o:title=""/>
              <o:lock v:ext="edit"/>
            </v:line>
            <v:line id="Line 1675" o:spid="_x0000_s1243" o:spt="20" style="position:absolute;left:2832;top:4407;height:1;width:4851;" coordsize="21600,21600">
              <v:path arrowok="t"/>
              <v:fill focussize="0,0"/>
              <v:stroke/>
              <v:imagedata o:title=""/>
              <o:lock v:ext="edit"/>
            </v:line>
            <v:line id="Line 1676" o:spid="_x0000_s1244" o:spt="20" style="position:absolute;left:2832;top:3727;height:1;width:4851;" coordsize="21600,21600">
              <v:path arrowok="t"/>
              <v:fill focussize="0,0"/>
              <v:stroke/>
              <v:imagedata o:title=""/>
              <o:lock v:ext="edit"/>
            </v:line>
            <v:line id="Line 1677" o:spid="_x0000_s1245" o:spt="20" style="position:absolute;left:2832;top:3048;height:1;width:4851;" coordsize="21600,21600">
              <v:path arrowok="t"/>
              <v:fill focussize="0,0"/>
              <v:stroke/>
              <v:imagedata o:title=""/>
              <o:lock v:ext="edit"/>
            </v:line>
            <v:line id="Line 1678" o:spid="_x0000_s1246" o:spt="20" style="position:absolute;left:2832;top:3455;height:0;width:782;" coordsize="21600,21600">
              <v:path arrowok="t"/>
              <v:fill focussize="0,0"/>
              <v:stroke endarrow="block"/>
              <v:imagedata o:title=""/>
              <o:lock v:ext="edit"/>
            </v:line>
            <v:line id="Line 1679" o:spid="_x0000_s1247" o:spt="20" style="position:absolute;left:2832;top:4135;height:1;width:781;" coordsize="21600,21600">
              <v:path arrowok="t"/>
              <v:fill focussize="0,0"/>
              <v:stroke endarrow="block"/>
              <v:imagedata o:title=""/>
              <o:lock v:ext="edit"/>
            </v:line>
            <v:line id="Line 1680" o:spid="_x0000_s1248" o:spt="20" style="position:absolute;left:7058;top:4135;height:1;width:781;" coordsize="21600,21600">
              <v:path arrowok="t"/>
              <v:fill focussize="0,0"/>
              <v:stroke endarrow="block"/>
              <v:imagedata o:title=""/>
              <o:lock v:ext="edit"/>
            </v:line>
            <v:line id="Line 1681" o:spid="_x0000_s1249" o:spt="20" style="position:absolute;left:7058;top:3455;height:2;width:781;" coordsize="21600,21600">
              <v:path arrowok="t"/>
              <v:fill focussize="0,0"/>
              <v:stroke endarrow="block"/>
              <v:imagedata o:title=""/>
              <o:lock v:ext="edit"/>
            </v:line>
            <v:rect id="Rectangle 1682" o:spid="_x0000_s1250" o:spt="1" style="position:absolute;left:5179;top:3727;height:680;width:1253;" fillcolor="#FFFF00" filled="t" coordsize="21600,21600">
              <v:path/>
              <v:fill on="t" focussize="0,0"/>
              <v:stroke/>
              <v:imagedata o:title=""/>
              <o:lock v:ext="edit"/>
            </v:rect>
            <v:line id="Line 1683" o:spid="_x0000_s1251" o:spt="20" style="position:absolute;left:6901;top:4407;height:135;width:2;" coordsize="21600,21600">
              <v:path arrowok="t"/>
              <v:fill focussize="0,0"/>
              <v:stroke/>
              <v:imagedata o:title=""/>
              <o:lock v:ext="edit"/>
            </v:line>
            <v:line id="Line 1684" o:spid="_x0000_s1252" o:spt="20" style="position:absolute;left:6432;top:4407;height:135;width:1;" coordsize="21600,21600">
              <v:path arrowok="t"/>
              <v:fill focussize="0,0"/>
              <v:stroke/>
              <v:imagedata o:title=""/>
              <o:lock v:ext="edit"/>
            </v:line>
            <v:line id="Line 1685" o:spid="_x0000_s1253" o:spt="20" style="position:absolute;left:5179;top:4406;height:135;width:1;" coordsize="21600,21600">
              <v:path arrowok="t"/>
              <v:fill focussize="0,0"/>
              <v:stroke/>
              <v:imagedata o:title=""/>
              <o:lock v:ext="edit"/>
            </v:line>
            <v:line id="Line 1686" o:spid="_x0000_s1254" o:spt="20" style="position:absolute;left:4553;top:4406;height:135;width:1;" coordsize="21600,21600">
              <v:path arrowok="t"/>
              <v:fill focussize="0,0"/>
              <v:stroke/>
              <v:imagedata o:title=""/>
              <o:lock v:ext="edit"/>
            </v:line>
            <v:line id="Line 1687" o:spid="_x0000_s1255" o:spt="20" style="position:absolute;left:7214;top:4407;height:135;width:3;" coordsize="21600,21600">
              <v:path arrowok="t"/>
              <v:fill focussize="0,0"/>
              <v:stroke/>
              <v:imagedata o:title=""/>
              <o:lock v:ext="edit"/>
            </v:line>
            <v:group id="Group 1688" o:spid="_x0000_s1256" o:spt="203" style="position:absolute;left:3145;top:4407;height:271;width:313;" coordorigin="2832,5222" coordsize="780,627">
              <o:lock v:ext="edit"/>
              <v:shape id="AutoShape 1689" o:spid="_x0000_s1257" o:spt="120" type="#_x0000_t120" style="position:absolute;left:2832;top:5222;height:627;width:780;" fillcolor="#CCFFFF" filled="t" coordsize="21600,21600">
                <v:path/>
                <v:fill on="t" focussize="0,0"/>
                <v:stroke/>
                <v:imagedata o:title=""/>
                <o:lock v:ext="edit"/>
              </v:shape>
              <v:shape id="AutoShape 1690" o:spid="_x0000_s1258" o:spt="136" type="#_x0000_t136" style="position:absolute;left:2988;top:5358;height:407;width:313;" fillcolor="#000000" filled="t" stroked="f" coordsize="21600,21600">
                <v:path/>
                <v:fill on="t" focussize="0,0"/>
                <v:stroke on="f"/>
                <v:imagedata o:title=""/>
                <o:lock v:ext="edit" aspectratio="t"/>
                <v:textpath on="t" fitshape="t" fitpath="t" trim="t" xscale="f" string=" 1" style="font-family:仿宋_GB2312;font-size:14pt;font-weight:bold;v-text-align:center;"/>
              </v:shape>
            </v:group>
            <v:group id="Group 1691" o:spid="_x0000_s1259" o:spt="203" style="position:absolute;left:4084;top:4406;height:278;width:313;" coordorigin="2832,5222" coordsize="780,627">
              <o:lock v:ext="edit"/>
              <v:shape id="AutoShape 1692" o:spid="_x0000_s1260" o:spt="120" type="#_x0000_t120" style="position:absolute;left:2832;top:5222;height:627;width:780;" fillcolor="#CCFFFF" filled="t" coordsize="21600,21600">
                <v:path/>
                <v:fill on="t" focussize="0,0"/>
                <v:stroke/>
                <v:imagedata o:title=""/>
                <o:lock v:ext="edit"/>
              </v:shape>
              <v:shape id="AutoShape 1693" o:spid="_x0000_s1261" o:spt="136" type="#_x0000_t136" style="position:absolute;left:2988;top:5358;height:407;width:313;" fillcolor="#000000" filled="t" stroked="f" coordsize="21600,21600">
                <v:path/>
                <v:fill on="t" focussize="0,0"/>
                <v:stroke on="f"/>
                <v:imagedata o:title=""/>
                <o:lock v:ext="edit" aspectratio="t"/>
                <v:textpath on="t" fitshape="t" fitpath="t" trim="t" xscale="f" string=" 2" style="font-family:仿宋_GB2312;font-size:14pt;font-weight:bold;v-text-align:center;"/>
              </v:shape>
            </v:group>
            <v:group id="Group 1694" o:spid="_x0000_s1262" o:spt="203" style="position:absolute;left:4710;top:4406;height:275;width:313;" coordorigin="2832,5222" coordsize="780,627">
              <o:lock v:ext="edit"/>
              <v:shape id="AutoShape 1695" o:spid="_x0000_s1263" o:spt="120" type="#_x0000_t120" style="position:absolute;left:2832;top:5222;height:627;width:780;" fillcolor="#CCFFFF" filled="t" coordsize="21600,21600">
                <v:path/>
                <v:fill on="t" focussize="0,0"/>
                <v:stroke/>
                <v:imagedata o:title=""/>
                <o:lock v:ext="edit"/>
              </v:shape>
              <v:shape id="AutoShape 1696" o:spid="_x0000_s1264" o:spt="136" type="#_x0000_t136" style="position:absolute;left:2988;top:5358;height:407;width:313;" fillcolor="#000000" filled="t" stroked="f" coordsize="21600,21600">
                <v:path/>
                <v:fill on="t" focussize="0,0"/>
                <v:stroke on="f"/>
                <v:imagedata o:title=""/>
                <o:lock v:ext="edit" aspectratio="t"/>
                <v:textpath on="t" fitshape="t" fitpath="t" trim="t" xscale="f" string=" 3" style="font-family:仿宋_GB2312;font-size:14pt;font-weight:bold;v-text-align:center;"/>
              </v:shape>
            </v:group>
            <v:group id="Group 1697" o:spid="_x0000_s1265" o:spt="203" style="position:absolute;left:5649;top:4406;height:273;width:315;" coordorigin="2832,5222" coordsize="780,627">
              <o:lock v:ext="edit"/>
              <v:shape id="AutoShape 1698" o:spid="_x0000_s1266" o:spt="120" type="#_x0000_t120" style="position:absolute;left:2832;top:5222;height:627;width:780;" fillcolor="#CCFFFF" filled="t" coordsize="21600,21600">
                <v:path/>
                <v:fill on="t" focussize="0,0"/>
                <v:stroke/>
                <v:imagedata o:title=""/>
                <o:lock v:ext="edit"/>
              </v:shape>
              <v:shape id="AutoShape 1699" o:spid="_x0000_s1267" o:spt="136" type="#_x0000_t136" style="position:absolute;left:2988;top:5358;height:407;width:313;" fillcolor="#000000" filled="t" stroked="f" coordsize="21600,21600">
                <v:path/>
                <v:fill on="t" focussize="0,0"/>
                <v:stroke on="f"/>
                <v:imagedata o:title=""/>
                <o:lock v:ext="edit" aspectratio="t"/>
                <v:textpath on="t" fitshape="t" fitpath="t" trim="t" xscale="f" string=" 4" style="font-family:仿宋_GB2312;font-size:14pt;font-weight:bold;v-text-align:center;"/>
              </v:shape>
            </v:group>
            <v:group id="Group 1700" o:spid="_x0000_s1268" o:spt="203" style="position:absolute;left:6588;top:4406;height:271;width:313;" coordorigin="2832,5222" coordsize="780,627">
              <o:lock v:ext="edit"/>
              <v:shape id="AutoShape 1701" o:spid="_x0000_s1269" o:spt="120" type="#_x0000_t120" style="position:absolute;left:2832;top:5222;height:627;width:780;" fillcolor="#CCFFFF" filled="t" coordsize="21600,21600">
                <v:path/>
                <v:fill on="t" focussize="0,0"/>
                <v:stroke/>
                <v:imagedata o:title=""/>
                <o:lock v:ext="edit"/>
              </v:shape>
              <v:shape id="AutoShape 1702" o:spid="_x0000_s1270" o:spt="136" type="#_x0000_t136" style="position:absolute;left:2988;top:5358;height:407;width:313;" fillcolor="#000000" filled="t" stroked="f" coordsize="21600,21600">
                <v:path/>
                <v:fill on="t" focussize="0,0"/>
                <v:stroke on="f"/>
                <v:imagedata o:title=""/>
                <o:lock v:ext="edit" aspectratio="t"/>
                <v:textpath on="t" fitshape="t" fitpath="t" trim="t" xscale="f" string=" 5" style="font-family:仿宋_GB2312;font-size:14pt;font-weight:bold;v-text-align:center;"/>
              </v:shape>
            </v:group>
            <v:group id="Group 1703" o:spid="_x0000_s1271" o:spt="203" style="position:absolute;left:6901;top:4406;height:271;width:312;" coordorigin="2832,5222" coordsize="780,627">
              <o:lock v:ext="edit"/>
              <v:shape id="AutoShape 1704" o:spid="_x0000_s1272" o:spt="120" type="#_x0000_t120" style="position:absolute;left:2832;top:5222;height:627;width:780;" fillcolor="#CCFFFF" filled="t" coordsize="21600,21600">
                <v:path/>
                <v:fill on="t" focussize="0,0"/>
                <v:stroke/>
                <v:imagedata o:title=""/>
                <o:lock v:ext="edit"/>
              </v:shape>
              <v:shape id="AutoShape 1705" o:spid="_x0000_s1273" o:spt="136" type="#_x0000_t136" style="position:absolute;left:2988;top:5358;height:407;width:313;" fillcolor="#000000" filled="t" stroked="f" coordsize="21600,21600">
                <v:path/>
                <v:fill on="t" focussize="0,0"/>
                <v:stroke on="f"/>
                <v:imagedata o:title=""/>
                <o:lock v:ext="edit" aspectratio="t"/>
                <v:textpath on="t" fitshape="t" fitpath="t" trim="t" xscale="f" string=" 6" style="font-family:仿宋_GB2312;font-size:14pt;font-weight:bold;v-text-align:center;"/>
              </v:shape>
            </v:group>
            <v:line id="Line 1706" o:spid="_x0000_s1274" o:spt="20" style="position:absolute;left:4084;top:4406;height:135;width:1;" coordsize="21600,21600">
              <v:path arrowok="t"/>
              <v:fill focussize="0,0"/>
              <v:stroke/>
              <v:imagedata o:title=""/>
              <o:lock v:ext="edit"/>
            </v:line>
            <v:line id="Line 1707" o:spid="_x0000_s1275" o:spt="20" style="position:absolute;left:6432;top:3591;height:816;width:469;" coordsize="21600,21600">
              <v:path arrowok="t"/>
              <v:fill focussize="0,0"/>
              <v:stroke dashstyle="1 1"/>
              <v:imagedata o:title=""/>
              <o:lock v:ext="edit"/>
            </v:line>
            <v:shape id="Text Box 1708" o:spid="_x0000_s1276" o:spt="202" type="#_x0000_t202" style="position:absolute;left:8153;top:2912;height:1766;width:1252;" coordsize="21600,21600">
              <v:path/>
              <v:fill focussize="0,0"/>
              <v:stroke joinstyle="miter"/>
              <v:imagedata o:title=""/>
              <o:lock v:ext="edit"/>
              <v:textbox>
                <w:txbxContent>
                  <w:p w14:paraId="1A4F48B6">
                    <w:pPr>
                      <w:ind w:left="0" w:leftChars="0" w:firstLine="0" w:firstLineChars="0"/>
                    </w:pPr>
                    <w:r>
                      <w:rPr>
                        <w:rFonts w:hint="eastAsia"/>
                      </w:rPr>
                      <w:t>1、警告区</w:t>
                    </w:r>
                  </w:p>
                  <w:p w14:paraId="5E1FC432">
                    <w:pPr>
                      <w:ind w:left="0" w:leftChars="0" w:firstLine="0" w:firstLineChars="0"/>
                    </w:pPr>
                    <w:r>
                      <w:rPr>
                        <w:rFonts w:hint="eastAsia"/>
                      </w:rPr>
                      <w:t>2、前渐变区</w:t>
                    </w:r>
                  </w:p>
                  <w:p w14:paraId="359232C8">
                    <w:pPr>
                      <w:ind w:left="0" w:leftChars="0" w:firstLine="0" w:firstLineChars="0"/>
                    </w:pPr>
                    <w:r>
                      <w:rPr>
                        <w:rFonts w:hint="eastAsia"/>
                      </w:rPr>
                      <w:t>3、缓冲区</w:t>
                    </w:r>
                  </w:p>
                  <w:p w14:paraId="24CF4419">
                    <w:pPr>
                      <w:ind w:left="0" w:leftChars="0" w:firstLine="0" w:firstLineChars="0"/>
                    </w:pPr>
                    <w:r>
                      <w:rPr>
                        <w:rFonts w:hint="eastAsia"/>
                      </w:rPr>
                      <w:t>4、作业区</w:t>
                    </w:r>
                  </w:p>
                  <w:p w14:paraId="28D40D92">
                    <w:r>
                      <w:rPr>
                        <w:rFonts w:hint="eastAsia"/>
                      </w:rPr>
                      <w:t>5、后渐变区</w:t>
                    </w:r>
                  </w:p>
                  <w:p w14:paraId="0C8301F7">
                    <w:r>
                      <w:rPr>
                        <w:rFonts w:hint="eastAsia"/>
                      </w:rPr>
                      <w:t>6、终止区</w:t>
                    </w:r>
                  </w:p>
                </w:txbxContent>
              </v:textbox>
            </v:shape>
            <v:shape id="AutoShape 1709" o:spid="_x0000_s1277" o:spt="136" type="#_x0000_t136" style="position:absolute;left:2988;top:3863;height:157;width:470;" fillcolor="#000000" filled="t" stroked="f" coordsize="21600,21600">
              <v:path/>
              <v:fill on="t" focussize="0,0"/>
              <v:stroke on="f"/>
              <v:imagedata o:title=""/>
              <o:lock v:ext="edit" aspectratio="t"/>
              <v:textpath on="t" fitshape="t" fitpath="t" trim="t" xscale="f" string="行车道&#10;" style="font-family:黑体;font-size:16pt;font-weight:bold;v-text-align:center;"/>
            </v:shape>
            <v:line id="Line 1710" o:spid="_x0000_s1278" o:spt="20" style="position:absolute;left:4084;top:3591;flip:y;height:815;width:626;" coordsize="21600,21600">
              <v:path arrowok="t"/>
              <v:fill focussize="0,0"/>
              <v:stroke dashstyle="1 1"/>
              <v:imagedata o:title=""/>
              <o:lock v:ext="edit"/>
            </v:line>
            <v:line id="Line 1711" o:spid="_x0000_s1279" o:spt="20" style="position:absolute;left:4710;top:3591;height:0;width:1722;" coordsize="21600,21600">
              <v:path arrowok="t"/>
              <v:fill focussize="0,0"/>
              <v:stroke dashstyle="1 1"/>
              <v:imagedata o:title=""/>
              <o:lock v:ext="edit"/>
            </v:line>
            <v:shape id="AutoShape 1712" o:spid="_x0000_s1280" o:spt="136" type="#_x0000_t136" style="position:absolute;left:3927;top:2776;height:155;width:470;" fillcolor="#000000" filled="t" stroked="f" coordsize="21600,21600">
              <v:path/>
              <v:fill on="t" focussize="0,0"/>
              <v:stroke on="f"/>
              <v:imagedata o:title=""/>
              <o:lock v:ext="edit" aspectratio="t"/>
              <v:textpath on="t" fitshape="t" fitpath="t" trim="t" xscale="f" string="中央分隔带&#10;" style="font-family:黑体;font-size:16pt;font-weight:bold;v-text-align:center;"/>
            </v:shape>
            <v:shape id="AutoShape 1713" o:spid="_x0000_s1281" o:spt="136" type="#_x0000_t136" style="position:absolute;left:2988;top:3184;height:156;width:470;" fillcolor="#000000" filled="t" stroked="f" coordsize="21600,21600">
              <v:path/>
              <v:fill on="t" focussize="0,0"/>
              <v:stroke on="f"/>
              <v:imagedata o:title=""/>
              <o:lock v:ext="edit" aspectratio="t"/>
              <v:textpath on="t" fitshape="t" fitpath="t" trim="t" xscale="f" string="超车道&#10;" style="font-family:黑体;font-size:16pt;font-weight:bold;v-text-align:center;"/>
            </v:shape>
            <v:shape id="Picture 1714" o:spid="_x0000_s1282" o:spt="75" alt="09048" type="#_x0000_t75" style="position:absolute;left:5597;top:3860;height:425;width:476;" fillcolor="#FFFF00" filled="t" o:preferrelative="t" stroked="f" coordsize="21600,21600">
              <v:path/>
              <v:fill on="t" focussize="0,0"/>
              <v:stroke on="f" joinstyle="miter"/>
              <v:imagedata r:id="rId40" o:title="09048"/>
              <o:lock v:ext="edit" aspectratio="t"/>
            </v:shape>
            <v:shape id="AutoShape 1715" o:spid="_x0000_s1283" o:spt="136" type="#_x0000_t136" style="position:absolute;left:4866;top:5086;height:291;width:1566;" fillcolor="#000000" filled="t" stroked="f" coordsize="21600,21600">
              <v:path/>
              <v:fill on="t" focussize="0,0"/>
              <v:stroke on="f"/>
              <v:imagedata o:title=""/>
              <o:lock v:ext="edit" aspectratio="t"/>
              <v:textpath on="t" fitshape="t" fitpath="t" trim="t" xscale="f" string="作业控制区布置图&#10;" style="font-family:黑体;font-size:16pt;font-weight:bold;v-text-align:center;"/>
            </v:shape>
            <w10:wrap type="none"/>
            <w10:anchorlock/>
          </v:group>
        </w:pict>
      </w:r>
    </w:p>
    <w:p w14:paraId="61FC49AF">
      <w:pPr>
        <w:rPr>
          <w:rFonts w:hint="eastAsia" w:ascii="仿宋" w:hAnsi="仿宋" w:eastAsia="仿宋" w:cs="仿宋"/>
          <w:color w:val="auto"/>
          <w:highlight w:val="none"/>
        </w:rPr>
      </w:pP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7</w:t>
      </w:r>
      <w:r>
        <w:rPr>
          <w:rFonts w:hint="eastAsia" w:ascii="仿宋" w:hAnsi="仿宋" w:eastAsia="仿宋" w:cs="仿宋"/>
          <w:color w:val="auto"/>
          <w:highlight w:val="none"/>
        </w:rPr>
        <w:t>）施工区内设施布设：施工区安全设施的布设应按《道路交通标志和标线》(GB5768—99)的有关规定执行，布设图例见《道路交通标志和标线》或本方案附录所示。其中限速标志的设置。</w:t>
      </w:r>
    </w:p>
    <w:p w14:paraId="45536403">
      <w:pPr>
        <w:keepNext/>
        <w:keepLines/>
        <w:numPr>
          <w:ilvl w:val="0"/>
          <w:numId w:val="0"/>
        </w:numPr>
        <w:ind w:leftChars="0"/>
        <w:outlineLvl w:val="2"/>
        <w:rPr>
          <w:rFonts w:hint="eastAsia" w:ascii="仿宋" w:hAnsi="仿宋" w:eastAsia="仿宋" w:cs="仿宋"/>
          <w:b/>
          <w:bCs/>
          <w:color w:val="auto"/>
          <w:szCs w:val="32"/>
          <w:highlight w:val="none"/>
          <w:lang w:val="en-US" w:eastAsia="zh-CN"/>
        </w:rPr>
      </w:pPr>
      <w:r>
        <w:rPr>
          <w:rFonts w:hint="eastAsia" w:ascii="仿宋" w:hAnsi="仿宋" w:eastAsia="仿宋" w:cs="仿宋"/>
          <w:b/>
          <w:bCs/>
          <w:color w:val="auto"/>
          <w:szCs w:val="32"/>
          <w:highlight w:val="none"/>
          <w:lang w:val="en-US" w:eastAsia="zh-CN"/>
        </w:rPr>
        <w:t>7.1.2交通组织具体保障方案</w:t>
      </w:r>
    </w:p>
    <w:p w14:paraId="349E359E">
      <w:pPr>
        <w:rPr>
          <w:rFonts w:hint="eastAsia" w:ascii="仿宋" w:hAnsi="仿宋" w:eastAsia="仿宋" w:cs="仿宋"/>
          <w:color w:val="auto"/>
          <w:highlight w:val="none"/>
        </w:rPr>
      </w:pPr>
      <w:r>
        <w:rPr>
          <w:rFonts w:hint="eastAsia" w:ascii="仿宋" w:hAnsi="仿宋" w:eastAsia="仿宋" w:cs="仿宋"/>
          <w:color w:val="auto"/>
          <w:highlight w:val="none"/>
        </w:rPr>
        <w:t>本工程处于正在通行的市政道路上进行，车辆较多，车速较快，交通维护对行辆车和施工人员的安全尤为重要。此外，项目部还应跟当地交警、路政建立良好的合作关系，为进行交通维护方案的报批和执行提供良好的社会条件。</w:t>
      </w:r>
    </w:p>
    <w:p w14:paraId="30DA9BCE">
      <w:pPr>
        <w:rPr>
          <w:rFonts w:hint="eastAsia" w:ascii="仿宋" w:hAnsi="仿宋" w:eastAsia="仿宋" w:cs="仿宋"/>
          <w:color w:val="auto"/>
          <w:highlight w:val="none"/>
        </w:rPr>
      </w:pPr>
      <w:r>
        <w:rPr>
          <w:rFonts w:hint="eastAsia" w:ascii="仿宋" w:hAnsi="仿宋" w:eastAsia="仿宋" w:cs="仿宋"/>
          <w:color w:val="auto"/>
          <w:highlight w:val="none"/>
        </w:rPr>
        <w:t>道路施工总体思路是半幅并分段施工。平交道口之间的道路作为一个施工段，平交道口单独作为一个施工段。本分段可根据施工时具体情况重新编排。</w:t>
      </w:r>
    </w:p>
    <w:p w14:paraId="5BD3920E">
      <w:pPr>
        <w:rPr>
          <w:rFonts w:hint="eastAsia" w:ascii="仿宋" w:hAnsi="仿宋" w:eastAsia="仿宋" w:cs="仿宋"/>
          <w:color w:val="auto"/>
          <w:highlight w:val="none"/>
        </w:rPr>
      </w:pPr>
      <w:r>
        <w:rPr>
          <w:rFonts w:hint="eastAsia" w:ascii="仿宋" w:hAnsi="仿宋" w:eastAsia="仿宋" w:cs="仿宋"/>
          <w:color w:val="auto"/>
          <w:highlight w:val="none"/>
        </w:rPr>
        <w:t>具体实施时应结合周边道路制定合理的交通路线，尽量不对原交通流量产生过多影响，具体路段具体实施。</w:t>
      </w:r>
    </w:p>
    <w:p w14:paraId="2632CAA4">
      <w:pPr>
        <w:rPr>
          <w:rFonts w:hint="eastAsia" w:ascii="仿宋" w:hAnsi="仿宋" w:eastAsia="仿宋" w:cs="仿宋"/>
          <w:color w:val="auto"/>
          <w:highlight w:val="none"/>
        </w:rPr>
      </w:pPr>
      <w:r>
        <w:rPr>
          <w:rFonts w:hint="eastAsia" w:ascii="仿宋" w:hAnsi="仿宋" w:eastAsia="仿宋" w:cs="仿宋"/>
          <w:color w:val="auto"/>
          <w:highlight w:val="none"/>
        </w:rPr>
        <w:t>具体方法如下：</w:t>
      </w:r>
    </w:p>
    <w:p w14:paraId="74B7E27F">
      <w:pPr>
        <w:rPr>
          <w:rFonts w:hint="eastAsia" w:ascii="仿宋" w:hAnsi="仿宋" w:eastAsia="仿宋" w:cs="仿宋"/>
          <w:color w:val="auto"/>
          <w:highlight w:val="none"/>
        </w:rPr>
      </w:pPr>
      <w:r>
        <w:rPr>
          <w:rFonts w:hint="eastAsia" w:ascii="仿宋" w:hAnsi="仿宋" w:eastAsia="仿宋" w:cs="仿宋"/>
          <w:color w:val="auto"/>
          <w:highlight w:val="none"/>
        </w:rPr>
        <w:t>（1）警示区</w:t>
      </w:r>
    </w:p>
    <w:p w14:paraId="588AC579">
      <w:pPr>
        <w:rPr>
          <w:rFonts w:hint="eastAsia" w:ascii="仿宋" w:hAnsi="仿宋" w:eastAsia="仿宋" w:cs="仿宋"/>
          <w:color w:val="auto"/>
          <w:highlight w:val="none"/>
        </w:rPr>
      </w:pPr>
      <w:r>
        <w:rPr>
          <w:rFonts w:hint="eastAsia" w:ascii="仿宋" w:hAnsi="仿宋" w:eastAsia="仿宋" w:cs="仿宋"/>
          <w:color w:val="auto"/>
          <w:highlight w:val="none"/>
        </w:rPr>
        <w:t>作用：提示前方道路施工，使行车者注意交通变化情况，以便及时采取措施。</w:t>
      </w:r>
    </w:p>
    <w:p w14:paraId="5B0FFF93">
      <w:pPr>
        <w:rPr>
          <w:rFonts w:hint="eastAsia" w:ascii="仿宋" w:hAnsi="仿宋" w:eastAsia="仿宋" w:cs="仿宋"/>
          <w:color w:val="auto"/>
          <w:highlight w:val="none"/>
        </w:rPr>
      </w:pPr>
      <w:r>
        <w:rPr>
          <w:rFonts w:hint="eastAsia" w:ascii="仿宋" w:hAnsi="仿宋" w:eastAsia="仿宋" w:cs="仿宋"/>
          <w:color w:val="auto"/>
          <w:highlight w:val="none"/>
        </w:rPr>
        <w:t>在该区段前，应设立施工预告标志，用于通告道路的交通阻断、绕行情况，使司机有时间调整其行车速度。施工预告标志采用固定方式设置在行车方向右侧醒目的地方。警示区内每隔一定距离应设置有关标志，第一个警告标志到下一个标志的间距不得超过200m。</w:t>
      </w:r>
    </w:p>
    <w:p w14:paraId="1B92B581">
      <w:pPr>
        <w:rPr>
          <w:rFonts w:hint="eastAsia" w:ascii="仿宋" w:hAnsi="仿宋" w:eastAsia="仿宋" w:cs="仿宋"/>
          <w:color w:val="auto"/>
          <w:highlight w:val="none"/>
        </w:rPr>
      </w:pPr>
      <w:r>
        <w:rPr>
          <w:rFonts w:hint="eastAsia" w:ascii="仿宋" w:hAnsi="仿宋" w:eastAsia="仿宋" w:cs="仿宋"/>
          <w:color w:val="auto"/>
          <w:highlight w:val="none"/>
        </w:rPr>
        <w:t>警示区内统一设置“前方施工”标志、“禁止超车”标志、“前方车道变窄”标志、“禁止通行”标志、“导向”标志及“限制速度”标志等。</w:t>
      </w:r>
    </w:p>
    <w:p w14:paraId="7B9F4783">
      <w:pPr>
        <w:rPr>
          <w:rFonts w:hint="eastAsia" w:ascii="仿宋" w:hAnsi="仿宋" w:eastAsia="仿宋" w:cs="仿宋"/>
          <w:color w:val="auto"/>
          <w:highlight w:val="none"/>
        </w:rPr>
      </w:pPr>
      <w:r>
        <w:rPr>
          <w:rFonts w:hint="eastAsia" w:ascii="仿宋" w:hAnsi="仿宋" w:eastAsia="仿宋" w:cs="仿宋"/>
          <w:color w:val="auto"/>
          <w:highlight w:val="none"/>
        </w:rPr>
        <w:t>（2）前渐变区</w:t>
      </w:r>
    </w:p>
    <w:p w14:paraId="4D789653">
      <w:pPr>
        <w:rPr>
          <w:rFonts w:hint="eastAsia" w:ascii="仿宋" w:hAnsi="仿宋" w:eastAsia="仿宋" w:cs="仿宋"/>
          <w:color w:val="auto"/>
          <w:highlight w:val="none"/>
        </w:rPr>
      </w:pPr>
      <w:r>
        <w:rPr>
          <w:rFonts w:hint="eastAsia" w:ascii="仿宋" w:hAnsi="仿宋" w:eastAsia="仿宋" w:cs="仿宋"/>
          <w:color w:val="auto"/>
          <w:highlight w:val="none"/>
        </w:rPr>
        <w:t>作用：起导流作用，引导车辆改变行驶方向，变换车道。</w:t>
      </w:r>
    </w:p>
    <w:p w14:paraId="7C6449BF">
      <w:pPr>
        <w:rPr>
          <w:rFonts w:hint="eastAsia" w:ascii="仿宋" w:hAnsi="仿宋" w:eastAsia="仿宋" w:cs="仿宋"/>
          <w:color w:val="auto"/>
          <w:highlight w:val="none"/>
        </w:rPr>
      </w:pPr>
      <w:r>
        <w:rPr>
          <w:rFonts w:hint="eastAsia" w:ascii="仿宋" w:hAnsi="仿宋" w:eastAsia="仿宋" w:cs="仿宋"/>
          <w:color w:val="auto"/>
          <w:highlight w:val="none"/>
        </w:rPr>
        <w:t>当车辆行驶至前渐变区时，行车速度应小于30km／h。在前渐变区前应设置“禁止驶入”标志。若需在夜间施工，应在该区内每5米安装一个黄色频闪警视信号灯，警视信号灯具要反映渐变区轮廓。</w:t>
      </w:r>
    </w:p>
    <w:p w14:paraId="6A3028FD">
      <w:pPr>
        <w:rPr>
          <w:rFonts w:hint="eastAsia" w:ascii="仿宋" w:hAnsi="仿宋" w:eastAsia="仿宋" w:cs="仿宋"/>
          <w:color w:val="auto"/>
          <w:highlight w:val="none"/>
        </w:rPr>
      </w:pPr>
      <w:r>
        <w:rPr>
          <w:rFonts w:hint="eastAsia" w:ascii="仿宋" w:hAnsi="仿宋" w:eastAsia="仿宋" w:cs="仿宋"/>
          <w:color w:val="auto"/>
          <w:highlight w:val="none"/>
        </w:rPr>
        <w:t>（3）缓冲区</w:t>
      </w:r>
    </w:p>
    <w:p w14:paraId="6F310D83">
      <w:pPr>
        <w:rPr>
          <w:rFonts w:hint="eastAsia" w:ascii="仿宋" w:hAnsi="仿宋" w:eastAsia="仿宋" w:cs="仿宋"/>
          <w:color w:val="auto"/>
          <w:highlight w:val="none"/>
        </w:rPr>
      </w:pPr>
      <w:r>
        <w:rPr>
          <w:rFonts w:hint="eastAsia" w:ascii="仿宋" w:hAnsi="仿宋" w:eastAsia="仿宋" w:cs="仿宋"/>
          <w:color w:val="auto"/>
          <w:highlight w:val="none"/>
        </w:rPr>
        <w:t>作用：引导车流有序行进。</w:t>
      </w:r>
    </w:p>
    <w:p w14:paraId="546114BB">
      <w:pPr>
        <w:rPr>
          <w:rFonts w:hint="eastAsia" w:ascii="仿宋" w:hAnsi="仿宋" w:eastAsia="仿宋" w:cs="仿宋"/>
          <w:color w:val="auto"/>
          <w:highlight w:val="none"/>
        </w:rPr>
      </w:pPr>
      <w:r>
        <w:rPr>
          <w:rFonts w:hint="eastAsia" w:ascii="仿宋" w:hAnsi="仿宋" w:eastAsia="仿宋" w:cs="仿宋"/>
          <w:color w:val="auto"/>
          <w:highlight w:val="none"/>
        </w:rPr>
        <w:t>在缓冲区内应设置路障、混凝土隔离墩或用锥形交通标志进行隔离。缓冲区内不准停放器具、车辆、材料，禁止工作人员停留，以避免由于车辆失控出现的事故。</w:t>
      </w:r>
    </w:p>
    <w:p w14:paraId="5A81E604">
      <w:pPr>
        <w:rPr>
          <w:rFonts w:hint="eastAsia" w:ascii="仿宋" w:hAnsi="仿宋" w:eastAsia="仿宋" w:cs="仿宋"/>
          <w:color w:val="auto"/>
          <w:highlight w:val="none"/>
        </w:rPr>
      </w:pPr>
      <w:r>
        <w:rPr>
          <w:rFonts w:hint="eastAsia" w:ascii="仿宋" w:hAnsi="仿宋" w:eastAsia="仿宋" w:cs="仿宋"/>
          <w:color w:val="auto"/>
          <w:highlight w:val="none"/>
        </w:rPr>
        <w:t>（4）作业区</w:t>
      </w:r>
    </w:p>
    <w:p w14:paraId="3E4EADBA">
      <w:pPr>
        <w:rPr>
          <w:rFonts w:hint="eastAsia" w:ascii="仿宋" w:hAnsi="仿宋" w:eastAsia="仿宋" w:cs="仿宋"/>
          <w:color w:val="auto"/>
          <w:highlight w:val="none"/>
        </w:rPr>
      </w:pPr>
      <w:r>
        <w:rPr>
          <w:rFonts w:hint="eastAsia" w:ascii="仿宋" w:hAnsi="仿宋" w:eastAsia="仿宋" w:cs="仿宋"/>
          <w:color w:val="auto"/>
          <w:highlight w:val="none"/>
        </w:rPr>
        <w:t>作用：作业区是施工人员活动和工作的地方，在车道与作业区之间必须设置隔离装置，作业区还应为工程车辆提供安全的进出口。</w:t>
      </w:r>
    </w:p>
    <w:p w14:paraId="722D5650">
      <w:pPr>
        <w:rPr>
          <w:rFonts w:hint="eastAsia" w:ascii="仿宋" w:hAnsi="仿宋" w:eastAsia="仿宋" w:cs="仿宋"/>
          <w:color w:val="auto"/>
          <w:highlight w:val="none"/>
        </w:rPr>
      </w:pPr>
      <w:r>
        <w:rPr>
          <w:rFonts w:hint="eastAsia" w:ascii="仿宋" w:hAnsi="仿宋" w:eastAsia="仿宋" w:cs="仿宋"/>
          <w:color w:val="auto"/>
          <w:highlight w:val="none"/>
        </w:rPr>
        <w:t>根据施工作业的需要设置作业区长度。在该区域内全程用锥形交通标志与通行车道进行隔离。安全设施设置在下坡等危险路段更需进一步加强，并需派专人指挥交通和维护交通标志。夜间施工应在作业区内设置照明灯。一般禁止在夜晚、雨、雾等不良天气施工。</w:t>
      </w:r>
    </w:p>
    <w:p w14:paraId="75049EC2">
      <w:pPr>
        <w:rPr>
          <w:rFonts w:hint="eastAsia" w:ascii="仿宋" w:hAnsi="仿宋" w:eastAsia="仿宋" w:cs="仿宋"/>
          <w:color w:val="auto"/>
          <w:highlight w:val="none"/>
        </w:rPr>
      </w:pPr>
      <w:r>
        <w:rPr>
          <w:rFonts w:hint="eastAsia" w:ascii="仿宋" w:hAnsi="仿宋" w:eastAsia="仿宋" w:cs="仿宋"/>
          <w:color w:val="auto"/>
          <w:highlight w:val="none"/>
        </w:rPr>
        <w:t>（5）后渐变区</w:t>
      </w:r>
    </w:p>
    <w:p w14:paraId="5C70C1A0">
      <w:pPr>
        <w:rPr>
          <w:rFonts w:hint="eastAsia" w:ascii="仿宋" w:hAnsi="仿宋" w:eastAsia="仿宋" w:cs="仿宋"/>
          <w:color w:val="auto"/>
          <w:highlight w:val="none"/>
        </w:rPr>
      </w:pPr>
      <w:r>
        <w:rPr>
          <w:rFonts w:hint="eastAsia" w:ascii="仿宋" w:hAnsi="仿宋" w:eastAsia="仿宋" w:cs="仿宋"/>
          <w:color w:val="auto"/>
          <w:highlight w:val="none"/>
        </w:rPr>
        <w:t>作用：起导流作用，引导车辆改变行驶方向，变换车道，进入正常的行驶车道。</w:t>
      </w:r>
    </w:p>
    <w:p w14:paraId="6B8D7461">
      <w:pPr>
        <w:rPr>
          <w:rFonts w:hint="eastAsia" w:ascii="仿宋" w:hAnsi="仿宋" w:eastAsia="仿宋" w:cs="仿宋"/>
          <w:color w:val="auto"/>
          <w:highlight w:val="none"/>
        </w:rPr>
      </w:pPr>
      <w:r>
        <w:rPr>
          <w:rFonts w:hint="eastAsia" w:ascii="仿宋" w:hAnsi="仿宋" w:eastAsia="仿宋" w:cs="仿宋"/>
          <w:color w:val="auto"/>
          <w:highlight w:val="none"/>
        </w:rPr>
        <w:t>车辆驶过施工区后，应利用锥形交通标志设置后渐变区，引导车辆进入正常车道。</w:t>
      </w:r>
    </w:p>
    <w:p w14:paraId="7FE9E7C6">
      <w:pPr>
        <w:rPr>
          <w:rFonts w:hint="eastAsia" w:ascii="仿宋" w:hAnsi="仿宋" w:eastAsia="仿宋" w:cs="仿宋"/>
          <w:color w:val="auto"/>
          <w:highlight w:val="none"/>
        </w:rPr>
      </w:pPr>
      <w:r>
        <w:rPr>
          <w:rFonts w:hint="eastAsia" w:ascii="仿宋" w:hAnsi="仿宋" w:eastAsia="仿宋" w:cs="仿宋"/>
          <w:color w:val="auto"/>
          <w:highlight w:val="none"/>
        </w:rPr>
        <w:t>（6）终止区</w:t>
      </w:r>
    </w:p>
    <w:p w14:paraId="26C93F00">
      <w:pPr>
        <w:rPr>
          <w:rFonts w:hint="eastAsia" w:ascii="仿宋" w:hAnsi="仿宋" w:eastAsia="仿宋" w:cs="仿宋"/>
          <w:color w:val="auto"/>
          <w:highlight w:val="none"/>
        </w:rPr>
      </w:pPr>
      <w:r>
        <w:rPr>
          <w:rFonts w:hint="eastAsia" w:ascii="仿宋" w:hAnsi="仿宋" w:eastAsia="仿宋" w:cs="仿宋"/>
          <w:color w:val="auto"/>
          <w:highlight w:val="none"/>
        </w:rPr>
        <w:t>作用：表示施工区的结束和施工限制的解除，位于施工区的末端。</w:t>
      </w:r>
    </w:p>
    <w:p w14:paraId="4576D359">
      <w:pPr>
        <w:rPr>
          <w:rFonts w:hint="eastAsia" w:ascii="仿宋" w:hAnsi="仿宋" w:eastAsia="仿宋" w:cs="仿宋"/>
          <w:color w:val="auto"/>
          <w:highlight w:val="none"/>
        </w:rPr>
      </w:pPr>
      <w:r>
        <w:rPr>
          <w:rFonts w:hint="eastAsia" w:ascii="仿宋" w:hAnsi="仿宋" w:eastAsia="仿宋" w:cs="仿宋"/>
          <w:color w:val="auto"/>
          <w:highlight w:val="none"/>
        </w:rPr>
        <w:t>终止区的末端应设置解除限速标志。</w:t>
      </w:r>
    </w:p>
    <w:p w14:paraId="6C323C0F">
      <w:pPr>
        <w:rPr>
          <w:rFonts w:hint="eastAsia" w:ascii="仿宋" w:hAnsi="仿宋" w:eastAsia="仿宋" w:cs="仿宋"/>
          <w:color w:val="auto"/>
          <w:highlight w:val="none"/>
        </w:rPr>
      </w:pPr>
      <w:r>
        <w:rPr>
          <w:rFonts w:hint="eastAsia" w:ascii="仿宋" w:hAnsi="仿宋" w:eastAsia="仿宋" w:cs="仿宋"/>
          <w:color w:val="auto"/>
          <w:highlight w:val="none"/>
        </w:rPr>
        <w:t>（7）在作业区两端设置栏杆，成立交通值班小组，由6人组成，分成两组，每组3人，选一组长作为机动人员便于指挥交通。每天24小时专人值班，并单向放车通行。使用交通锥型筒及标志牌逐渐封闭施工车道，以便车辆在这个区域内有一定的时间和空间调整车速和位置，准确顺利的穿过施工作业区。</w:t>
      </w:r>
    </w:p>
    <w:p w14:paraId="42B0B6DE">
      <w:pPr>
        <w:rPr>
          <w:rFonts w:hint="eastAsia" w:ascii="仿宋" w:hAnsi="仿宋" w:eastAsia="仿宋" w:cs="仿宋"/>
          <w:color w:val="auto"/>
          <w:highlight w:val="none"/>
        </w:rPr>
      </w:pPr>
      <w:r>
        <w:rPr>
          <w:rFonts w:hint="eastAsia" w:ascii="仿宋" w:hAnsi="仿宋" w:eastAsia="仿宋" w:cs="仿宋"/>
          <w:color w:val="auto"/>
          <w:highlight w:val="none"/>
        </w:rPr>
        <w:t>（8）施工范围设置施工标志，告请车辆小心慢行和告请群众注意安全，施工范围内的坑、沟等危险部位设置护栏，加盖防护设施，并设置警示标志，同时施工时在所占路段设交通导向标志，保证施工现场道路顺畅。</w:t>
      </w:r>
    </w:p>
    <w:p w14:paraId="032B19C2">
      <w:pPr>
        <w:rPr>
          <w:rFonts w:hint="eastAsia" w:ascii="仿宋" w:hAnsi="仿宋" w:eastAsia="仿宋" w:cs="仿宋"/>
          <w:color w:val="auto"/>
          <w:highlight w:val="none"/>
        </w:rPr>
      </w:pPr>
      <w:r>
        <w:rPr>
          <w:rFonts w:hint="eastAsia" w:ascii="仿宋" w:hAnsi="仿宋" w:eastAsia="仿宋" w:cs="仿宋"/>
          <w:color w:val="auto"/>
          <w:highlight w:val="none"/>
        </w:rPr>
        <w:t>（9）施工现场设置保证施工安全的夜间照明和保证车辆交通安全的路灯照明。</w:t>
      </w:r>
    </w:p>
    <w:p w14:paraId="6706A79B">
      <w:pPr>
        <w:rPr>
          <w:rFonts w:hint="eastAsia" w:ascii="仿宋" w:hAnsi="仿宋" w:eastAsia="仿宋" w:cs="仿宋"/>
          <w:color w:val="auto"/>
          <w:highlight w:val="none"/>
        </w:rPr>
      </w:pPr>
      <w:r>
        <w:rPr>
          <w:rFonts w:hint="eastAsia" w:ascii="仿宋" w:hAnsi="仿宋" w:eastAsia="仿宋" w:cs="仿宋"/>
          <w:color w:val="auto"/>
          <w:highlight w:val="none"/>
        </w:rPr>
        <w:t>（10）施工作业区是控制区中最重要的防范区段。除了标志设施外，作业区增加另外三套管理，第一是要用安全筒把作业区与行车的界面隔离开来，锥间距适当加密，以车辆不能驶入为准；第二是安全专职人员现场指挥；第三是加强施工作业管理，设施完整，摆放正确，使行车有序，确保交通安全。</w:t>
      </w:r>
    </w:p>
    <w:p w14:paraId="3C0F73C8">
      <w:pPr>
        <w:rPr>
          <w:rFonts w:hint="eastAsia" w:ascii="仿宋" w:hAnsi="仿宋" w:eastAsia="仿宋" w:cs="仿宋"/>
          <w:color w:val="auto"/>
          <w:highlight w:val="none"/>
        </w:rPr>
      </w:pPr>
      <w:r>
        <w:rPr>
          <w:rFonts w:hint="eastAsia" w:ascii="仿宋" w:hAnsi="仿宋" w:eastAsia="仿宋" w:cs="仿宋"/>
          <w:color w:val="auto"/>
          <w:highlight w:val="none"/>
        </w:rPr>
        <w:t>（11）除了对交通安全进行控制外，还严格执行安全防护准则，主要内容有：</w:t>
      </w:r>
    </w:p>
    <w:p w14:paraId="77400F3D">
      <w:pP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a.</w:t>
      </w:r>
      <w:r>
        <w:rPr>
          <w:rFonts w:hint="eastAsia" w:ascii="仿宋" w:hAnsi="仿宋" w:eastAsia="仿宋" w:cs="仿宋"/>
          <w:color w:val="auto"/>
          <w:highlight w:val="none"/>
        </w:rPr>
        <w:t>标志服，施工作业人员必须穿统一标志服。安全标志服为鲜艳的橘黄色，具有反光功能;</w:t>
      </w:r>
    </w:p>
    <w:p w14:paraId="3D5D4CF6">
      <w:pP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b.</w:t>
      </w:r>
      <w:r>
        <w:rPr>
          <w:rFonts w:hint="eastAsia" w:ascii="仿宋" w:hAnsi="仿宋" w:eastAsia="仿宋" w:cs="仿宋"/>
          <w:color w:val="auto"/>
          <w:highlight w:val="none"/>
        </w:rPr>
        <w:t>在每个工点，设专职的安全员。在进入施工现场前，安全人员先检查施工人员、施工车辆等是否符合要求；</w:t>
      </w:r>
    </w:p>
    <w:p w14:paraId="068C3488">
      <w:pP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c.</w:t>
      </w:r>
      <w:r>
        <w:rPr>
          <w:rFonts w:hint="eastAsia" w:ascii="仿宋" w:hAnsi="仿宋" w:eastAsia="仿宋" w:cs="仿宋"/>
          <w:color w:val="auto"/>
          <w:highlight w:val="none"/>
        </w:rPr>
        <w:t>每个工点在当日收工时，安全员认真清理现场，不在路面、路肩放置施工机具、材料及废弃杂物，保证路面清洁；</w:t>
      </w:r>
    </w:p>
    <w:p w14:paraId="0BAEF7BB">
      <w:pP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d.</w:t>
      </w:r>
      <w:r>
        <w:rPr>
          <w:rFonts w:hint="eastAsia" w:ascii="仿宋" w:hAnsi="仿宋" w:eastAsia="仿宋" w:cs="仿宋"/>
          <w:color w:val="auto"/>
          <w:highlight w:val="none"/>
        </w:rPr>
        <w:t>施工人员不以任何方式拦阻车道及在路上拦截、搭乘过往车辆；</w:t>
      </w:r>
    </w:p>
    <w:p w14:paraId="026485E8">
      <w:pP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e.</w:t>
      </w:r>
      <w:r>
        <w:rPr>
          <w:rFonts w:hint="eastAsia" w:ascii="仿宋" w:hAnsi="仿宋" w:eastAsia="仿宋" w:cs="仿宋"/>
          <w:color w:val="auto"/>
          <w:highlight w:val="none"/>
        </w:rPr>
        <w:t>施工作业结束后做好恢复交通的各项工作：撤除场内设备，清除场内剩余材料及废物，使路面洁净，撤除警示灯具，开放交通，从封闭末端向起点撤除安全锥和标志，关闭活动开口，撤离现场指挥人员，撤除封闭公告。</w:t>
      </w:r>
    </w:p>
    <w:p w14:paraId="16759AB4">
      <w:pPr>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f.</w:t>
      </w:r>
      <w:r>
        <w:rPr>
          <w:rFonts w:hint="eastAsia" w:ascii="仿宋" w:hAnsi="仿宋" w:eastAsia="仿宋" w:cs="仿宋"/>
          <w:color w:val="auto"/>
          <w:highlight w:val="none"/>
        </w:rPr>
        <w:t>在合同段两端或操作段两端，每班两端各派一人值班，机动人员灵活调动。两端设岗亭，用标杆拦车，单车道放行，采用每放完一组车辆的最后一辆的驾驶员将标有“最后一辆”字样的牌子带到另一端，然后放另一端的车辆或机动人员跟车或对讲机（手机报尾车车牌）。</w:t>
      </w:r>
    </w:p>
    <w:p w14:paraId="35B5A333">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g.</w:t>
      </w:r>
      <w:r>
        <w:rPr>
          <w:rFonts w:hint="eastAsia" w:ascii="仿宋" w:hAnsi="仿宋" w:eastAsia="仿宋" w:cs="仿宋"/>
          <w:color w:val="auto"/>
          <w:highlight w:val="none"/>
        </w:rPr>
        <w:t>现场安全员配备对讲机，用于及时联系指挥车辆安全通行。</w:t>
      </w:r>
    </w:p>
    <w:p w14:paraId="32526C3F">
      <w:pPr>
        <w:keepNext/>
        <w:keepLines/>
        <w:pageBreakBefore w:val="0"/>
        <w:widowControl w:val="0"/>
        <w:numPr>
          <w:ilvl w:val="0"/>
          <w:numId w:val="0"/>
        </w:numPr>
        <w:kinsoku/>
        <w:wordWrap/>
        <w:overflowPunct/>
        <w:topLinePunct w:val="0"/>
        <w:autoSpaceDE/>
        <w:autoSpaceDN/>
        <w:bidi w:val="0"/>
        <w:adjustRightInd/>
        <w:snapToGrid/>
        <w:spacing w:line="360" w:lineRule="auto"/>
        <w:ind w:leftChars="0"/>
        <w:jc w:val="left"/>
        <w:textAlignment w:val="auto"/>
        <w:outlineLvl w:val="1"/>
        <w:rPr>
          <w:rFonts w:hint="eastAsia" w:ascii="仿宋" w:hAnsi="仿宋" w:eastAsia="仿宋" w:cs="仿宋"/>
          <w:b/>
          <w:bCs/>
          <w:color w:val="auto"/>
          <w:sz w:val="28"/>
          <w:szCs w:val="28"/>
          <w:highlight w:val="none"/>
          <w:lang w:val="en-US" w:eastAsia="zh-CN"/>
        </w:rPr>
      </w:pPr>
      <w:bookmarkStart w:id="113" w:name="_Toc6745"/>
      <w:bookmarkStart w:id="114" w:name="_Toc28636"/>
      <w:r>
        <w:rPr>
          <w:rFonts w:hint="eastAsia" w:ascii="仿宋" w:hAnsi="仿宋" w:eastAsia="仿宋" w:cs="仿宋"/>
          <w:b/>
          <w:bCs/>
          <w:color w:val="auto"/>
          <w:sz w:val="28"/>
          <w:szCs w:val="28"/>
          <w:highlight w:val="none"/>
          <w:lang w:val="en-US" w:eastAsia="zh-CN"/>
        </w:rPr>
        <w:t>7.2交通应急预案</w:t>
      </w:r>
      <w:bookmarkEnd w:id="113"/>
      <w:bookmarkEnd w:id="114"/>
    </w:p>
    <w:p w14:paraId="0F500266">
      <w:pPr>
        <w:rPr>
          <w:rFonts w:hint="eastAsia" w:ascii="仿宋" w:hAnsi="仿宋" w:eastAsia="仿宋" w:cs="仿宋"/>
          <w:color w:val="auto"/>
          <w:highlight w:val="none"/>
        </w:rPr>
      </w:pPr>
      <w:r>
        <w:rPr>
          <w:rFonts w:hint="eastAsia" w:ascii="仿宋" w:hAnsi="仿宋" w:eastAsia="仿宋" w:cs="仿宋"/>
          <w:color w:val="auto"/>
          <w:highlight w:val="none"/>
        </w:rPr>
        <w:t>项目部及交通值班小组随时与业主、路政、公安、执法大队等部门保持联系，确保交通信息的及时准确。封闭施工路段在施工期间如出现意外情况，随时商请救援调派清障车及时排堵清障，保障通车路段的安全通行。若遇有不服从指挥，强行闯杆等情况应及时制止，并取得有关部门的支持。</w:t>
      </w:r>
    </w:p>
    <w:p w14:paraId="66F0CFE2">
      <w:pPr>
        <w:rPr>
          <w:rFonts w:hint="eastAsia" w:ascii="仿宋" w:hAnsi="仿宋" w:eastAsia="仿宋" w:cs="仿宋"/>
          <w:color w:val="auto"/>
          <w:highlight w:val="none"/>
        </w:rPr>
      </w:pPr>
      <w:r>
        <w:rPr>
          <w:rFonts w:hint="eastAsia" w:ascii="仿宋" w:hAnsi="仿宋" w:eastAsia="仿宋" w:cs="仿宋"/>
          <w:color w:val="auto"/>
          <w:highlight w:val="none"/>
        </w:rPr>
        <w:t>（1）项目部与值班小组间通讯畅通。</w:t>
      </w:r>
    </w:p>
    <w:p w14:paraId="670C0924">
      <w:pPr>
        <w:rPr>
          <w:rFonts w:hint="eastAsia" w:ascii="仿宋" w:hAnsi="仿宋" w:eastAsia="仿宋" w:cs="仿宋"/>
          <w:color w:val="auto"/>
          <w:highlight w:val="none"/>
        </w:rPr>
      </w:pPr>
      <w:r>
        <w:rPr>
          <w:rFonts w:hint="eastAsia" w:ascii="仿宋" w:hAnsi="仿宋" w:eastAsia="仿宋" w:cs="仿宋"/>
          <w:color w:val="auto"/>
          <w:highlight w:val="none"/>
        </w:rPr>
        <w:t>（2）施工项目设专职的交通安全员负责施工路段的标志管理和日常巡查工作，及时对施工路段的各种施工标志进行恢复、调整和增补，保证标志齐全有效，指示过往车辆安全通过施工路段。</w:t>
      </w:r>
    </w:p>
    <w:p w14:paraId="3CF51D19">
      <w:pPr>
        <w:rPr>
          <w:rFonts w:hint="eastAsia" w:ascii="仿宋" w:hAnsi="仿宋" w:eastAsia="仿宋" w:cs="仿宋"/>
          <w:color w:val="auto"/>
          <w:highlight w:val="none"/>
        </w:rPr>
      </w:pPr>
      <w:r>
        <w:rPr>
          <w:rFonts w:hint="eastAsia" w:ascii="仿宋" w:hAnsi="仿宋" w:eastAsia="仿宋" w:cs="仿宋"/>
          <w:color w:val="auto"/>
          <w:highlight w:val="none"/>
        </w:rPr>
        <w:t>（3）若车辆在管制段中途出现坏车及交通事故，在施工作业人员中应急抢险队，负责施工路段发生的一切交通事故的抢险工作，及时维护交通秩序，排除故障。或值班小组立即组织车辆间相互帮助，能拖移的尽快拖移，不能拖移的请驾驶员迅速与维修部门取得联系，及时修好。交通事故迅速请交警现场解决。</w:t>
      </w:r>
    </w:p>
    <w:p w14:paraId="685894AC">
      <w:pPr>
        <w:rPr>
          <w:rFonts w:hint="eastAsia" w:ascii="仿宋" w:hAnsi="仿宋" w:eastAsia="仿宋" w:cs="仿宋"/>
          <w:color w:val="auto"/>
          <w:highlight w:val="none"/>
        </w:rPr>
      </w:pPr>
      <w:r>
        <w:rPr>
          <w:rFonts w:hint="eastAsia" w:ascii="仿宋" w:hAnsi="仿宋" w:eastAsia="仿宋" w:cs="仿宋"/>
          <w:color w:val="auto"/>
          <w:highlight w:val="none"/>
        </w:rPr>
        <w:t>在施工中加强与当地政府、交警、路政的联系，做好协调工作，取得他们的支持与配合，必要时请求交警路政对该路段实行交通管制，使工程得以顺利进行。</w:t>
      </w:r>
    </w:p>
    <w:p w14:paraId="0BC4183B">
      <w:pPr>
        <w:keepNext/>
        <w:keepLines/>
        <w:pageBreakBefore w:val="0"/>
        <w:widowControl w:val="0"/>
        <w:numPr>
          <w:ilvl w:val="0"/>
          <w:numId w:val="0"/>
        </w:numPr>
        <w:kinsoku/>
        <w:wordWrap/>
        <w:overflowPunct/>
        <w:topLinePunct w:val="0"/>
        <w:autoSpaceDE/>
        <w:autoSpaceDN/>
        <w:bidi w:val="0"/>
        <w:adjustRightInd w:val="0"/>
        <w:snapToGrid w:val="0"/>
        <w:spacing w:before="164" w:beforeLines="50" w:after="164" w:afterLines="50" w:line="360" w:lineRule="auto"/>
        <w:ind w:leftChars="0"/>
        <w:textAlignment w:val="auto"/>
        <w:outlineLvl w:val="1"/>
        <w:rPr>
          <w:rFonts w:hint="eastAsia" w:ascii="仿宋" w:hAnsi="仿宋" w:eastAsia="仿宋" w:cs="仿宋"/>
          <w:b/>
          <w:bCs/>
          <w:color w:val="auto"/>
          <w:sz w:val="28"/>
          <w:szCs w:val="28"/>
          <w:highlight w:val="none"/>
          <w:lang w:val="en-US" w:eastAsia="zh-CN"/>
        </w:rPr>
      </w:pPr>
      <w:bookmarkStart w:id="115" w:name="_Toc22484"/>
      <w:bookmarkStart w:id="116" w:name="_Toc3659"/>
      <w:r>
        <w:rPr>
          <w:rFonts w:hint="eastAsia" w:ascii="仿宋" w:hAnsi="仿宋" w:eastAsia="仿宋" w:cs="仿宋"/>
          <w:b/>
          <w:bCs/>
          <w:color w:val="auto"/>
          <w:sz w:val="28"/>
          <w:szCs w:val="28"/>
          <w:highlight w:val="none"/>
          <w:lang w:val="en-US" w:eastAsia="zh-CN"/>
        </w:rPr>
        <w:t>7.3施工安全措施</w:t>
      </w:r>
      <w:bookmarkEnd w:id="115"/>
      <w:bookmarkEnd w:id="116"/>
    </w:p>
    <w:p w14:paraId="20589197">
      <w:pPr>
        <w:rPr>
          <w:rFonts w:hint="eastAsia" w:ascii="仿宋" w:hAnsi="仿宋" w:eastAsia="仿宋" w:cs="仿宋"/>
          <w:color w:val="auto"/>
          <w:highlight w:val="none"/>
        </w:rPr>
      </w:pPr>
      <w:r>
        <w:rPr>
          <w:rFonts w:hint="eastAsia" w:ascii="仿宋" w:hAnsi="仿宋" w:eastAsia="仿宋" w:cs="仿宋"/>
          <w:color w:val="auto"/>
          <w:highlight w:val="none"/>
        </w:rPr>
        <w:t>本工程处于正在营运的公路上，车辆多，车速快，交通维护对行辆车和施工人员的安全尤为重要。为规范施工中作业区的设置标准，施工单位应认真分析了路线状况，结本项目的实际车流量，本着“交通和施工安全”的宗旨，有效提高施工作业区和通车路面行使安全，有针对性的交通安全组织方案。</w:t>
      </w:r>
    </w:p>
    <w:p w14:paraId="68CD906B">
      <w:pPr>
        <w:rPr>
          <w:rFonts w:hint="eastAsia" w:ascii="仿宋" w:hAnsi="仿宋" w:eastAsia="仿宋" w:cs="仿宋"/>
          <w:color w:val="auto"/>
          <w:highlight w:val="none"/>
        </w:rPr>
      </w:pPr>
      <w:r>
        <w:rPr>
          <w:rFonts w:hint="eastAsia" w:ascii="仿宋" w:hAnsi="仿宋" w:eastAsia="仿宋" w:cs="仿宋"/>
          <w:color w:val="auto"/>
          <w:highlight w:val="none"/>
        </w:rPr>
        <w:t>作业安全管理有两部分，一是对作业区以外的有限范围内实行交通管制，目的是避免作业人员、设备与行驶车辆的安全隐患，保障道路畅通；二是对作业区内都作业人员进行必要的安全管理，确保施工安全。</w:t>
      </w:r>
    </w:p>
    <w:p w14:paraId="56844E22">
      <w:pPr>
        <w:keepNext/>
        <w:keepLines/>
        <w:numPr>
          <w:ilvl w:val="0"/>
          <w:numId w:val="0"/>
        </w:numPr>
        <w:ind w:leftChars="0"/>
        <w:outlineLvl w:val="2"/>
        <w:rPr>
          <w:rFonts w:hint="eastAsia" w:ascii="仿宋" w:hAnsi="仿宋" w:eastAsia="仿宋" w:cs="仿宋"/>
          <w:b/>
          <w:bCs/>
          <w:color w:val="auto"/>
          <w:szCs w:val="32"/>
          <w:highlight w:val="none"/>
          <w:lang w:val="en-US" w:eastAsia="zh-CN"/>
        </w:rPr>
      </w:pPr>
      <w:r>
        <w:rPr>
          <w:rFonts w:hint="eastAsia" w:ascii="仿宋" w:hAnsi="仿宋" w:eastAsia="仿宋" w:cs="仿宋"/>
          <w:b/>
          <w:bCs/>
          <w:color w:val="auto"/>
          <w:szCs w:val="32"/>
          <w:highlight w:val="none"/>
          <w:lang w:val="en-US" w:eastAsia="zh-CN"/>
        </w:rPr>
        <w:t>7.3.1一般要求</w:t>
      </w:r>
    </w:p>
    <w:p w14:paraId="32B1BEA9">
      <w:pPr>
        <w:rPr>
          <w:rFonts w:hint="eastAsia" w:ascii="仿宋" w:hAnsi="仿宋" w:eastAsia="仿宋" w:cs="仿宋"/>
          <w:color w:val="auto"/>
          <w:highlight w:val="none"/>
        </w:rPr>
      </w:pPr>
      <w:r>
        <w:rPr>
          <w:rFonts w:hint="eastAsia" w:ascii="仿宋" w:hAnsi="仿宋" w:eastAsia="仿宋" w:cs="仿宋"/>
          <w:color w:val="auto"/>
          <w:highlight w:val="none"/>
        </w:rPr>
        <w:t>承包人除应遵守《公路工程施工安全技术规程》(JTGF90-2015)、《公路筑养路机械操作规程》的有关规定外，还应遵守有关指导安全、健康与环境卫生方面的法规和规范，并应提供相应的安全装置、设备与保护器材及采取其他有效措施，以保护现场施工和监理人员的生命、健康及安全。</w:t>
      </w:r>
    </w:p>
    <w:p w14:paraId="6A175096">
      <w:pPr>
        <w:keepNext/>
        <w:keepLines/>
        <w:numPr>
          <w:ilvl w:val="0"/>
          <w:numId w:val="0"/>
        </w:numPr>
        <w:ind w:leftChars="0"/>
        <w:outlineLvl w:val="2"/>
        <w:rPr>
          <w:rFonts w:hint="eastAsia" w:ascii="仿宋" w:hAnsi="仿宋" w:eastAsia="仿宋" w:cs="仿宋"/>
          <w:b/>
          <w:bCs/>
          <w:color w:val="auto"/>
          <w:szCs w:val="32"/>
          <w:highlight w:val="none"/>
          <w:lang w:val="en-US" w:eastAsia="zh-CN"/>
        </w:rPr>
      </w:pPr>
      <w:r>
        <w:rPr>
          <w:rFonts w:hint="eastAsia" w:ascii="仿宋" w:hAnsi="仿宋" w:eastAsia="仿宋" w:cs="仿宋"/>
          <w:b/>
          <w:bCs/>
          <w:color w:val="auto"/>
          <w:szCs w:val="32"/>
          <w:highlight w:val="none"/>
          <w:lang w:val="en-US" w:eastAsia="zh-CN"/>
        </w:rPr>
        <w:t>7.3.2作业人员安全要求</w:t>
      </w:r>
    </w:p>
    <w:p w14:paraId="4008E226">
      <w:pPr>
        <w:rPr>
          <w:rFonts w:hint="eastAsia" w:ascii="仿宋" w:hAnsi="仿宋" w:eastAsia="仿宋" w:cs="仿宋"/>
          <w:color w:val="auto"/>
          <w:highlight w:val="none"/>
        </w:rPr>
      </w:pPr>
      <w:r>
        <w:rPr>
          <w:rFonts w:hint="eastAsia" w:ascii="仿宋" w:hAnsi="仿宋" w:eastAsia="仿宋" w:cs="仿宋"/>
          <w:color w:val="auto"/>
          <w:highlight w:val="none"/>
        </w:rPr>
        <w:t>本工程地处车流量密集的路面，人、料、机集中，存在多种威胁因素，施工环境恶劣。为此确保人的安全与健康，控制人的不安全行为和物的的不安全状态，是施工现场安全、健康、文明施工管理的重点，也是预防与避免伤害事故，保证施工处于最佳状态的根本环节。</w:t>
      </w:r>
    </w:p>
    <w:p w14:paraId="71784F0C">
      <w:pPr>
        <w:rPr>
          <w:rFonts w:hint="eastAsia" w:ascii="仿宋" w:hAnsi="仿宋" w:eastAsia="仿宋" w:cs="仿宋"/>
          <w:color w:val="auto"/>
          <w:highlight w:val="none"/>
        </w:rPr>
      </w:pPr>
      <w:r>
        <w:rPr>
          <w:rFonts w:hint="eastAsia" w:ascii="仿宋" w:hAnsi="仿宋" w:eastAsia="仿宋" w:cs="仿宋"/>
          <w:color w:val="auto"/>
          <w:highlight w:val="none"/>
        </w:rPr>
        <w:t>①开工前，施工单位对该现场人员进行安全教育、安全交底和技术培训。</w:t>
      </w:r>
    </w:p>
    <w:p w14:paraId="11109C82">
      <w:pPr>
        <w:rPr>
          <w:rFonts w:hint="eastAsia" w:ascii="仿宋" w:hAnsi="仿宋" w:eastAsia="仿宋" w:cs="仿宋"/>
          <w:color w:val="auto"/>
          <w:highlight w:val="none"/>
        </w:rPr>
      </w:pPr>
      <w:r>
        <w:rPr>
          <w:rFonts w:hint="eastAsia" w:ascii="仿宋" w:hAnsi="仿宋" w:eastAsia="仿宋" w:cs="仿宋"/>
          <w:color w:val="auto"/>
          <w:highlight w:val="none"/>
        </w:rPr>
        <w:t>②施工进出场，必须由现场负责人指挥，操作人员再封道和撤除过程中应保持高度警惕，特别要加强自我保护意识。</w:t>
      </w:r>
    </w:p>
    <w:p w14:paraId="7329ECBE">
      <w:pPr>
        <w:rPr>
          <w:rFonts w:hint="eastAsia" w:ascii="仿宋" w:hAnsi="仿宋" w:eastAsia="仿宋" w:cs="仿宋"/>
          <w:color w:val="auto"/>
          <w:highlight w:val="none"/>
        </w:rPr>
      </w:pPr>
      <w:r>
        <w:rPr>
          <w:rFonts w:hint="eastAsia" w:ascii="仿宋" w:hAnsi="仿宋" w:eastAsia="仿宋" w:cs="仿宋"/>
          <w:color w:val="auto"/>
          <w:highlight w:val="none"/>
        </w:rPr>
        <w:t>③项目部应配备专职交通协管人员，用于平时安全设施维护工作和施工期间交通指导和疏导工作，同时，交通协管人员还负责在施工活动中，和技术员一道监督和保证施工人员和施工车辆只能在施工区域内活动。</w:t>
      </w:r>
    </w:p>
    <w:p w14:paraId="445565AF">
      <w:pPr>
        <w:rPr>
          <w:rFonts w:hint="eastAsia" w:ascii="仿宋" w:hAnsi="仿宋" w:eastAsia="仿宋" w:cs="仿宋"/>
          <w:color w:val="auto"/>
          <w:highlight w:val="none"/>
        </w:rPr>
      </w:pPr>
      <w:r>
        <w:rPr>
          <w:rFonts w:hint="eastAsia" w:ascii="仿宋" w:hAnsi="仿宋" w:eastAsia="仿宋" w:cs="仿宋"/>
          <w:color w:val="auto"/>
          <w:highlight w:val="none"/>
        </w:rPr>
        <w:t>④封道完毕后，作业人员方可进入施工作业区作业，施工结束时，作业人员撤退后才能撤除封道设施。</w:t>
      </w:r>
    </w:p>
    <w:p w14:paraId="0B15C194">
      <w:pPr>
        <w:rPr>
          <w:rFonts w:hint="eastAsia" w:ascii="仿宋" w:hAnsi="仿宋" w:eastAsia="仿宋" w:cs="仿宋"/>
          <w:color w:val="auto"/>
          <w:highlight w:val="none"/>
        </w:rPr>
      </w:pPr>
      <w:r>
        <w:rPr>
          <w:rFonts w:hint="eastAsia" w:ascii="仿宋" w:hAnsi="仿宋" w:eastAsia="仿宋" w:cs="仿宋"/>
          <w:color w:val="auto"/>
          <w:highlight w:val="none"/>
        </w:rPr>
        <w:t>⑤施工期间，作业人员不得随意变更和扩大控制区，不得走出安全保护区，不得就任何施工机具和材料放置于安全保护区外。</w:t>
      </w:r>
    </w:p>
    <w:p w14:paraId="7DB95B53">
      <w:pPr>
        <w:rPr>
          <w:rFonts w:hint="eastAsia" w:ascii="仿宋" w:hAnsi="仿宋" w:eastAsia="仿宋" w:cs="仿宋"/>
          <w:color w:val="auto"/>
          <w:highlight w:val="none"/>
        </w:rPr>
      </w:pPr>
      <w:r>
        <w:rPr>
          <w:rFonts w:hint="eastAsia" w:ascii="仿宋" w:hAnsi="仿宋" w:eastAsia="仿宋" w:cs="仿宋"/>
          <w:color w:val="auto"/>
          <w:highlight w:val="none"/>
        </w:rPr>
        <w:t>⑥现场施工人员必须穿着带有反光标志功能的工作套装，佩戴安全帽，对颜色和反光标志陈旧的工作套装及时更换。</w:t>
      </w:r>
    </w:p>
    <w:p w14:paraId="6DBBC27D">
      <w:pPr>
        <w:rPr>
          <w:rFonts w:hint="eastAsia" w:ascii="仿宋" w:hAnsi="仿宋" w:eastAsia="仿宋" w:cs="仿宋"/>
          <w:color w:val="auto"/>
          <w:highlight w:val="none"/>
        </w:rPr>
      </w:pPr>
      <w:r>
        <w:rPr>
          <w:rFonts w:hint="eastAsia" w:ascii="仿宋" w:hAnsi="仿宋" w:eastAsia="仿宋" w:cs="仿宋"/>
          <w:color w:val="auto"/>
          <w:highlight w:val="none"/>
        </w:rPr>
        <w:t>⑦遇到雾、暴雨等特殊气候，停止常规作业，做好人料机及安全设施的保护。</w:t>
      </w:r>
    </w:p>
    <w:p w14:paraId="62B38F43">
      <w:pPr>
        <w:rPr>
          <w:rFonts w:hint="eastAsia" w:ascii="仿宋" w:hAnsi="仿宋" w:eastAsia="仿宋" w:cs="仿宋"/>
          <w:color w:val="auto"/>
          <w:highlight w:val="none"/>
        </w:rPr>
      </w:pPr>
      <w:r>
        <w:rPr>
          <w:rFonts w:hint="eastAsia" w:ascii="仿宋" w:hAnsi="仿宋" w:eastAsia="仿宋" w:cs="仿宋"/>
          <w:color w:val="auto"/>
          <w:highlight w:val="none"/>
        </w:rPr>
        <w:t>⑧交通管理部门有特殊要求的，则按交通管理部门要求执行。</w:t>
      </w:r>
    </w:p>
    <w:p w14:paraId="6D3183CC">
      <w:pPr>
        <w:keepNext/>
        <w:keepLines/>
        <w:numPr>
          <w:ilvl w:val="0"/>
          <w:numId w:val="0"/>
        </w:numPr>
        <w:ind w:leftChars="0"/>
        <w:outlineLvl w:val="2"/>
        <w:rPr>
          <w:rFonts w:hint="eastAsia" w:ascii="仿宋" w:hAnsi="仿宋" w:eastAsia="仿宋" w:cs="仿宋"/>
          <w:b/>
          <w:bCs/>
          <w:color w:val="auto"/>
          <w:szCs w:val="32"/>
          <w:highlight w:val="none"/>
          <w:lang w:val="en-US" w:eastAsia="zh-CN"/>
        </w:rPr>
      </w:pPr>
      <w:r>
        <w:rPr>
          <w:rFonts w:hint="eastAsia" w:ascii="仿宋" w:hAnsi="仿宋" w:eastAsia="仿宋" w:cs="仿宋"/>
          <w:b/>
          <w:bCs/>
          <w:color w:val="auto"/>
          <w:szCs w:val="32"/>
          <w:highlight w:val="none"/>
          <w:lang w:val="en-US" w:eastAsia="zh-CN"/>
        </w:rPr>
        <w:t>7.3.3安全标志</w:t>
      </w:r>
    </w:p>
    <w:p w14:paraId="75AC6924">
      <w:pPr>
        <w:rPr>
          <w:rFonts w:hint="eastAsia" w:ascii="仿宋" w:hAnsi="仿宋" w:eastAsia="仿宋" w:cs="仿宋"/>
          <w:color w:val="auto"/>
          <w:highlight w:val="none"/>
        </w:rPr>
      </w:pPr>
      <w:r>
        <w:rPr>
          <w:rFonts w:hint="eastAsia" w:ascii="仿宋" w:hAnsi="仿宋" w:eastAsia="仿宋" w:cs="仿宋"/>
          <w:color w:val="auto"/>
          <w:highlight w:val="none"/>
        </w:rPr>
        <w:t>振荡标线、预告标志、旗帜、灯光照明、预警车等应按相关要求落实到位。</w:t>
      </w:r>
    </w:p>
    <w:p w14:paraId="1ECED57F">
      <w:pPr>
        <w:rPr>
          <w:rFonts w:hint="eastAsia" w:ascii="仿宋" w:hAnsi="仿宋" w:eastAsia="仿宋" w:cs="仿宋"/>
          <w:color w:val="auto"/>
          <w:highlight w:val="none"/>
        </w:rPr>
      </w:pPr>
      <w:r>
        <w:rPr>
          <w:rFonts w:hint="eastAsia" w:ascii="仿宋" w:hAnsi="仿宋" w:eastAsia="仿宋" w:cs="仿宋"/>
          <w:color w:val="auto"/>
          <w:highlight w:val="none"/>
        </w:rPr>
        <w:t>(1)承包人应在本工程现场周围配备、架立并维修必要的标志牌，以为其雇员和公众提供安全警示和通行方便。</w:t>
      </w:r>
    </w:p>
    <w:p w14:paraId="71053B78">
      <w:pPr>
        <w:rPr>
          <w:rFonts w:hint="eastAsia" w:ascii="仿宋" w:hAnsi="仿宋" w:eastAsia="仿宋" w:cs="仿宋"/>
          <w:color w:val="auto"/>
          <w:highlight w:val="none"/>
        </w:rPr>
      </w:pPr>
      <w:r>
        <w:rPr>
          <w:rFonts w:hint="eastAsia" w:ascii="仿宋" w:hAnsi="仿宋" w:eastAsia="仿宋" w:cs="仿宋"/>
          <w:color w:val="auto"/>
          <w:highlight w:val="none"/>
        </w:rPr>
        <w:t>(2)标志牌应包括：</w:t>
      </w:r>
    </w:p>
    <w:p w14:paraId="3CCB8E17">
      <w:pPr>
        <w:rPr>
          <w:rFonts w:hint="eastAsia" w:ascii="仿宋" w:hAnsi="仿宋" w:eastAsia="仿宋" w:cs="仿宋"/>
          <w:color w:val="auto"/>
          <w:highlight w:val="none"/>
        </w:rPr>
      </w:pPr>
      <w:r>
        <w:rPr>
          <w:rFonts w:hint="eastAsia" w:ascii="仿宋" w:hAnsi="仿宋" w:eastAsia="仿宋" w:cs="仿宋"/>
          <w:color w:val="auto"/>
          <w:highlight w:val="none"/>
        </w:rPr>
        <w:t>a.警告与危险标志；</w:t>
      </w:r>
    </w:p>
    <w:p w14:paraId="1EE17291">
      <w:pPr>
        <w:rPr>
          <w:rFonts w:hint="eastAsia" w:ascii="仿宋" w:hAnsi="仿宋" w:eastAsia="仿宋" w:cs="仿宋"/>
          <w:color w:val="auto"/>
          <w:highlight w:val="none"/>
        </w:rPr>
      </w:pPr>
      <w:r>
        <w:rPr>
          <w:rFonts w:hint="eastAsia" w:ascii="仿宋" w:hAnsi="仿宋" w:eastAsia="仿宋" w:cs="仿宋"/>
          <w:color w:val="auto"/>
          <w:highlight w:val="none"/>
        </w:rPr>
        <w:t>b.安全与控制标志；</w:t>
      </w:r>
    </w:p>
    <w:p w14:paraId="096BE3FA">
      <w:pPr>
        <w:rPr>
          <w:rFonts w:hint="eastAsia" w:ascii="仿宋" w:hAnsi="仿宋" w:eastAsia="仿宋" w:cs="仿宋"/>
          <w:color w:val="auto"/>
          <w:highlight w:val="none"/>
        </w:rPr>
      </w:pPr>
      <w:r>
        <w:rPr>
          <w:rFonts w:hint="eastAsia" w:ascii="仿宋" w:hAnsi="仿宋" w:eastAsia="仿宋" w:cs="仿宋"/>
          <w:color w:val="auto"/>
          <w:highlight w:val="none"/>
        </w:rPr>
        <w:t>c.指路标志与标准的道路标志。</w:t>
      </w:r>
    </w:p>
    <w:p w14:paraId="045F5142">
      <w:pPr>
        <w:rPr>
          <w:rFonts w:hint="eastAsia" w:ascii="仿宋" w:hAnsi="仿宋" w:eastAsia="仿宋" w:cs="仿宋"/>
          <w:color w:val="auto"/>
          <w:highlight w:val="none"/>
        </w:rPr>
      </w:pPr>
      <w:r>
        <w:rPr>
          <w:rFonts w:hint="eastAsia" w:ascii="仿宋" w:hAnsi="仿宋" w:eastAsia="仿宋" w:cs="仿宋"/>
          <w:color w:val="auto"/>
          <w:highlight w:val="none"/>
        </w:rPr>
        <w:t>(3)所有标志的尺寸、颜色、文字与架设地点，均应经监理工程师认可。</w:t>
      </w:r>
    </w:p>
    <w:p w14:paraId="0F493184">
      <w:pPr>
        <w:keepNext/>
        <w:keepLines/>
        <w:numPr>
          <w:ilvl w:val="0"/>
          <w:numId w:val="0"/>
        </w:numPr>
        <w:ind w:leftChars="0"/>
        <w:outlineLvl w:val="2"/>
        <w:rPr>
          <w:rFonts w:hint="eastAsia" w:ascii="仿宋" w:hAnsi="仿宋" w:eastAsia="仿宋" w:cs="仿宋"/>
          <w:b/>
          <w:bCs/>
          <w:color w:val="auto"/>
          <w:szCs w:val="32"/>
          <w:highlight w:val="none"/>
          <w:lang w:val="en-US" w:eastAsia="zh-CN"/>
        </w:rPr>
      </w:pPr>
      <w:r>
        <w:rPr>
          <w:rFonts w:hint="eastAsia" w:ascii="仿宋" w:hAnsi="仿宋" w:eastAsia="仿宋" w:cs="仿宋"/>
          <w:b/>
          <w:bCs/>
          <w:color w:val="auto"/>
          <w:szCs w:val="32"/>
          <w:highlight w:val="none"/>
          <w:lang w:val="en-US" w:eastAsia="zh-CN"/>
        </w:rPr>
        <w:t>7.3.4事故报告</w:t>
      </w:r>
    </w:p>
    <w:p w14:paraId="15D95095">
      <w:pPr>
        <w:rPr>
          <w:rFonts w:hint="eastAsia" w:ascii="仿宋" w:hAnsi="仿宋" w:eastAsia="仿宋" w:cs="仿宋"/>
          <w:color w:val="auto"/>
          <w:highlight w:val="none"/>
        </w:rPr>
      </w:pPr>
      <w:r>
        <w:rPr>
          <w:rFonts w:hint="eastAsia" w:ascii="仿宋" w:hAnsi="仿宋" w:eastAsia="仿宋" w:cs="仿宋"/>
          <w:color w:val="auto"/>
          <w:highlight w:val="none"/>
        </w:rPr>
        <w:t>(1)无论何时，一旦发生危害工程安全、工程进度和工程质量的事故时，承包人除采取必要的抢救措施以外必须立即暂停此项目和与之有关的项目的施工。</w:t>
      </w:r>
    </w:p>
    <w:p w14:paraId="54D672D4">
      <w:pPr>
        <w:rPr>
          <w:rFonts w:hint="eastAsia" w:ascii="仿宋" w:hAnsi="仿宋" w:eastAsia="仿宋" w:cs="仿宋"/>
          <w:color w:val="auto"/>
          <w:highlight w:val="none"/>
        </w:rPr>
      </w:pPr>
      <w:r>
        <w:rPr>
          <w:rFonts w:hint="eastAsia" w:ascii="仿宋" w:hAnsi="仿宋" w:eastAsia="仿宋" w:cs="仿宋"/>
          <w:color w:val="auto"/>
          <w:highlight w:val="none"/>
        </w:rPr>
        <w:t>(2)质量事故发生后，承包人必须以最快的方式，将事故的简要情况报监理工程师。在监理工程师初步确定安全、质量事故的类别性质后，按下述要求进行报告：</w:t>
      </w:r>
    </w:p>
    <w:p w14:paraId="465C0D18">
      <w:pPr>
        <w:rPr>
          <w:rFonts w:hint="eastAsia" w:ascii="仿宋" w:hAnsi="仿宋" w:eastAsia="仿宋" w:cs="仿宋"/>
          <w:color w:val="auto"/>
          <w:highlight w:val="none"/>
        </w:rPr>
      </w:pPr>
      <w:r>
        <w:rPr>
          <w:rFonts w:hint="eastAsia" w:ascii="仿宋" w:hAnsi="仿宋" w:eastAsia="仿宋" w:cs="仿宋"/>
          <w:color w:val="auto"/>
          <w:highlight w:val="none"/>
        </w:rPr>
        <w:t>a.质量问题：承包人应在2天内书面上报监理工程师和业主。</w:t>
      </w:r>
    </w:p>
    <w:p w14:paraId="486707B8">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b.一般质量事故：承包人应在3天内书面上报监理工程师和业主。</w:t>
      </w:r>
    </w:p>
    <w:p w14:paraId="60400C4C">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rPr>
      </w:pPr>
      <w:r>
        <w:rPr>
          <w:rFonts w:hint="eastAsia" w:ascii="仿宋" w:hAnsi="仿宋" w:eastAsia="仿宋" w:cs="仿宋"/>
          <w:color w:val="auto"/>
          <w:highlight w:val="none"/>
        </w:rPr>
        <w:t>c.重大质量事故：承包人必须在2h内速报监理工程师和业主。</w:t>
      </w:r>
    </w:p>
    <w:p w14:paraId="0F82B7BA">
      <w:pPr>
        <w:keepNext/>
        <w:keepLines/>
        <w:pageBreakBefore w:val="0"/>
        <w:widowControl w:val="0"/>
        <w:numPr>
          <w:ilvl w:val="0"/>
          <w:numId w:val="0"/>
        </w:numPr>
        <w:kinsoku/>
        <w:wordWrap/>
        <w:overflowPunct/>
        <w:topLinePunct w:val="0"/>
        <w:autoSpaceDE/>
        <w:autoSpaceDN/>
        <w:bidi w:val="0"/>
        <w:adjustRightInd/>
        <w:snapToGrid/>
        <w:spacing w:line="360" w:lineRule="auto"/>
        <w:ind w:leftChars="0"/>
        <w:jc w:val="left"/>
        <w:textAlignment w:val="auto"/>
        <w:outlineLvl w:val="1"/>
        <w:rPr>
          <w:rFonts w:hint="eastAsia" w:ascii="仿宋" w:hAnsi="仿宋" w:eastAsia="仿宋" w:cs="仿宋"/>
          <w:b/>
          <w:bCs/>
          <w:color w:val="auto"/>
          <w:sz w:val="28"/>
          <w:szCs w:val="28"/>
          <w:highlight w:val="none"/>
          <w:lang w:val="en-US" w:eastAsia="zh-CN"/>
        </w:rPr>
      </w:pPr>
      <w:bookmarkStart w:id="117" w:name="_Toc29274"/>
      <w:bookmarkStart w:id="118" w:name="_Toc1921"/>
      <w:r>
        <w:rPr>
          <w:rFonts w:hint="eastAsia" w:ascii="仿宋" w:hAnsi="仿宋" w:eastAsia="仿宋" w:cs="仿宋"/>
          <w:b/>
          <w:bCs/>
          <w:color w:val="auto"/>
          <w:sz w:val="28"/>
          <w:szCs w:val="28"/>
          <w:highlight w:val="none"/>
          <w:lang w:val="en-US" w:eastAsia="zh-CN"/>
        </w:rPr>
        <w:t>7.4废旧路面材料的利用及环境保护措施</w:t>
      </w:r>
      <w:bookmarkEnd w:id="117"/>
      <w:bookmarkEnd w:id="118"/>
    </w:p>
    <w:p w14:paraId="4270A0AE">
      <w:pPr>
        <w:rPr>
          <w:rFonts w:hint="eastAsia" w:ascii="仿宋" w:hAnsi="仿宋" w:eastAsia="仿宋" w:cs="仿宋"/>
          <w:color w:val="auto"/>
          <w:highlight w:val="none"/>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1</w:t>
      </w:r>
      <w:r>
        <w:rPr>
          <w:rFonts w:hint="eastAsia" w:ascii="仿宋" w:hAnsi="仿宋" w:eastAsia="仿宋" w:cs="仿宋"/>
          <w:color w:val="auto"/>
          <w:highlight w:val="none"/>
          <w:lang w:eastAsia="zh-CN"/>
        </w:rPr>
        <w:t>）</w:t>
      </w:r>
      <w:r>
        <w:rPr>
          <w:rFonts w:hint="eastAsia" w:ascii="仿宋" w:hAnsi="仿宋" w:eastAsia="仿宋" w:cs="仿宋"/>
          <w:color w:val="auto"/>
          <w:highlight w:val="none"/>
        </w:rPr>
        <w:t>本项目对于车行道路面结构废旧材料直接作为弃方，不再利用。对于人行道更换的透水砖等材料可根据实际情况进行利用，用于周边小区铺装改造的人行铺装材料。由甲方和街道、社区沟通，合理利用更换的透水砖，避免浪费。</w:t>
      </w:r>
    </w:p>
    <w:p w14:paraId="1F41A213">
      <w:pPr>
        <w:rPr>
          <w:rFonts w:hint="eastAsia" w:ascii="仿宋" w:hAnsi="仿宋" w:eastAsia="仿宋" w:cs="仿宋"/>
          <w:color w:val="auto"/>
          <w:highlight w:val="none"/>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lang w:eastAsia="zh-CN"/>
        </w:rPr>
        <w:t>）</w:t>
      </w:r>
      <w:r>
        <w:rPr>
          <w:rFonts w:hint="eastAsia" w:ascii="仿宋" w:hAnsi="仿宋" w:eastAsia="仿宋" w:cs="仿宋"/>
          <w:color w:val="auto"/>
          <w:highlight w:val="none"/>
        </w:rPr>
        <w:t>本项目施工期对声环境的影响主要为施工机械噪声，通过合理安排施工计划和施工方式，应该保证沿线环境敏感点的生活及教学质量不会受到较大的影响。</w:t>
      </w:r>
    </w:p>
    <w:p w14:paraId="0924EFD6">
      <w:pPr>
        <w:rPr>
          <w:rFonts w:hint="eastAsia" w:ascii="仿宋" w:hAnsi="仿宋" w:eastAsia="仿宋" w:cs="仿宋"/>
          <w:color w:val="auto"/>
          <w:highlight w:val="none"/>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3</w:t>
      </w:r>
      <w:r>
        <w:rPr>
          <w:rFonts w:hint="eastAsia" w:ascii="仿宋" w:hAnsi="仿宋" w:eastAsia="仿宋" w:cs="仿宋"/>
          <w:color w:val="auto"/>
          <w:highlight w:val="none"/>
          <w:lang w:eastAsia="zh-CN"/>
        </w:rPr>
        <w:t>）</w:t>
      </w:r>
      <w:r>
        <w:rPr>
          <w:rFonts w:hint="eastAsia" w:ascii="仿宋" w:hAnsi="仿宋" w:eastAsia="仿宋" w:cs="仿宋"/>
          <w:color w:val="auto"/>
          <w:highlight w:val="none"/>
        </w:rPr>
        <w:t>本项目处于街区地段，对扬尘有严格的控制，施工时必须做好洒水，围挡等防护措施。</w:t>
      </w:r>
    </w:p>
    <w:p w14:paraId="03B2B4AA">
      <w:pPr>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highlight w:val="none"/>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4</w:t>
      </w:r>
      <w:r>
        <w:rPr>
          <w:rFonts w:hint="eastAsia" w:ascii="仿宋" w:hAnsi="仿宋" w:eastAsia="仿宋" w:cs="仿宋"/>
          <w:color w:val="auto"/>
          <w:highlight w:val="none"/>
          <w:lang w:eastAsia="zh-CN"/>
        </w:rPr>
        <w:t>）</w:t>
      </w:r>
      <w:r>
        <w:rPr>
          <w:rFonts w:hint="eastAsia" w:ascii="仿宋" w:hAnsi="仿宋" w:eastAsia="仿宋" w:cs="仿宋"/>
          <w:color w:val="auto"/>
          <w:highlight w:val="none"/>
        </w:rPr>
        <w:t>施工时应尽量避免影响周围环境，尤其噪音污染、灰尘污染。</w:t>
      </w:r>
    </w:p>
    <w:p w14:paraId="2F34B0B0">
      <w:pPr>
        <w:keepNext/>
        <w:keepLines/>
        <w:pageBreakBefore w:val="0"/>
        <w:widowControl w:val="0"/>
        <w:numPr>
          <w:ilvl w:val="0"/>
          <w:numId w:val="0"/>
        </w:numPr>
        <w:kinsoku/>
        <w:wordWrap/>
        <w:overflowPunct/>
        <w:topLinePunct w:val="0"/>
        <w:autoSpaceDE/>
        <w:autoSpaceDN/>
        <w:bidi w:val="0"/>
        <w:adjustRightInd/>
        <w:snapToGrid/>
        <w:ind w:leftChars="0"/>
        <w:jc w:val="left"/>
        <w:textAlignment w:val="auto"/>
        <w:outlineLvl w:val="0"/>
        <w:rPr>
          <w:rFonts w:hint="eastAsia" w:ascii="仿宋" w:hAnsi="仿宋" w:eastAsia="仿宋" w:cs="仿宋"/>
          <w:b/>
          <w:bCs/>
          <w:color w:val="auto"/>
          <w:sz w:val="28"/>
          <w:szCs w:val="28"/>
          <w:highlight w:val="none"/>
          <w:lang w:val="en-US" w:eastAsia="zh-CN"/>
        </w:rPr>
      </w:pPr>
      <w:bookmarkStart w:id="119" w:name="_Toc21290"/>
      <w:bookmarkStart w:id="120" w:name="_Toc22508"/>
      <w:r>
        <w:rPr>
          <w:rFonts w:hint="eastAsia" w:ascii="仿宋" w:hAnsi="仿宋" w:eastAsia="仿宋" w:cs="仿宋"/>
          <w:b/>
          <w:bCs/>
          <w:color w:val="auto"/>
          <w:sz w:val="28"/>
          <w:szCs w:val="28"/>
          <w:highlight w:val="none"/>
          <w:lang w:val="en-US" w:eastAsia="zh-CN"/>
        </w:rPr>
        <w:t xml:space="preserve">8 </w:t>
      </w:r>
      <w:bookmarkEnd w:id="119"/>
      <w:bookmarkEnd w:id="120"/>
      <w:r>
        <w:rPr>
          <w:rFonts w:hint="eastAsia" w:ascii="仿宋" w:hAnsi="仿宋" w:eastAsia="仿宋" w:cs="仿宋"/>
          <w:b/>
          <w:bCs/>
          <w:color w:val="auto"/>
          <w:sz w:val="28"/>
          <w:szCs w:val="28"/>
          <w:highlight w:val="none"/>
          <w:lang w:val="en-US" w:eastAsia="zh-CN"/>
        </w:rPr>
        <w:t>特别说明</w:t>
      </w:r>
    </w:p>
    <w:p w14:paraId="7F506021">
      <w:pPr>
        <w:rPr>
          <w:rFonts w:hint="eastAsia" w:ascii="仿宋" w:hAnsi="仿宋" w:eastAsia="仿宋" w:cs="仿宋"/>
          <w:color w:val="auto"/>
          <w:highlight w:val="none"/>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1</w:t>
      </w:r>
      <w:r>
        <w:rPr>
          <w:rFonts w:hint="eastAsia" w:ascii="仿宋" w:hAnsi="仿宋" w:eastAsia="仿宋" w:cs="仿宋"/>
          <w:color w:val="auto"/>
          <w:highlight w:val="none"/>
          <w:lang w:eastAsia="zh-CN"/>
        </w:rPr>
        <w:t>）</w:t>
      </w:r>
      <w:r>
        <w:rPr>
          <w:rFonts w:hint="eastAsia" w:ascii="仿宋" w:hAnsi="仿宋" w:eastAsia="仿宋" w:cs="仿宋"/>
          <w:color w:val="auto"/>
          <w:highlight w:val="none"/>
        </w:rPr>
        <w:t>施工时应注意保护好原有各种管线，</w:t>
      </w:r>
      <w:r>
        <w:rPr>
          <w:rFonts w:hint="eastAsia" w:ascii="仿宋" w:hAnsi="仿宋" w:eastAsia="仿宋" w:cs="仿宋"/>
          <w:color w:val="auto"/>
          <w:highlight w:val="none"/>
          <w:lang w:eastAsia="zh-CN"/>
        </w:rPr>
        <w:t>在施工前应探查地下管线埋设位置和深度，在</w:t>
      </w:r>
      <w:r>
        <w:rPr>
          <w:rFonts w:hint="eastAsia" w:ascii="仿宋" w:hAnsi="仿宋" w:eastAsia="仿宋" w:cs="仿宋"/>
          <w:color w:val="auto"/>
          <w:highlight w:val="none"/>
        </w:rPr>
        <w:t>施工时应根据实际情况做好管线保护措施，工程量以实际发生计。</w:t>
      </w:r>
    </w:p>
    <w:p w14:paraId="54C87E06">
      <w:pPr>
        <w:rPr>
          <w:rFonts w:hint="eastAsia" w:ascii="仿宋" w:hAnsi="仿宋" w:eastAsia="仿宋" w:cs="仿宋"/>
          <w:color w:val="auto"/>
          <w:highlight w:val="none"/>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lang w:eastAsia="zh-CN"/>
        </w:rPr>
        <w:t>）</w:t>
      </w:r>
      <w:r>
        <w:rPr>
          <w:rFonts w:hint="eastAsia" w:ascii="仿宋" w:hAnsi="仿宋" w:eastAsia="仿宋" w:cs="仿宋"/>
          <w:color w:val="auto"/>
          <w:highlight w:val="none"/>
        </w:rPr>
        <w:t>施工时，应严格注意路面的平整度和纵、横坡的控制，防止路面积水。</w:t>
      </w:r>
    </w:p>
    <w:p w14:paraId="35257EC0">
      <w:pPr>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3</w:t>
      </w:r>
      <w:r>
        <w:rPr>
          <w:rFonts w:hint="eastAsia" w:ascii="仿宋" w:hAnsi="仿宋" w:eastAsia="仿宋" w:cs="仿宋"/>
          <w:color w:val="auto"/>
          <w:highlight w:val="none"/>
          <w:lang w:eastAsia="zh-CN"/>
        </w:rPr>
        <w:t>）</w:t>
      </w:r>
      <w:r>
        <w:rPr>
          <w:rFonts w:hint="eastAsia" w:ascii="仿宋" w:hAnsi="仿宋" w:eastAsia="仿宋" w:cs="仿宋"/>
          <w:color w:val="auto"/>
          <w:sz w:val="24"/>
          <w:szCs w:val="24"/>
          <w:highlight w:val="none"/>
          <w:lang w:eastAsia="zh-CN"/>
        </w:rPr>
        <w:t>可能调查资料</w:t>
      </w:r>
      <w:r>
        <w:rPr>
          <w:rFonts w:hint="eastAsia" w:ascii="仿宋" w:hAnsi="仿宋" w:eastAsia="仿宋" w:cs="仿宋"/>
          <w:color w:val="auto"/>
          <w:sz w:val="24"/>
          <w:szCs w:val="24"/>
          <w:highlight w:val="none"/>
        </w:rPr>
        <w:t>与实际施工存在一定的时间间隔，</w:t>
      </w:r>
      <w:r>
        <w:rPr>
          <w:rFonts w:hint="eastAsia" w:ascii="仿宋" w:hAnsi="仿宋" w:eastAsia="仿宋" w:cs="仿宋"/>
          <w:color w:val="auto"/>
          <w:highlight w:val="none"/>
        </w:rPr>
        <w:t>鉴于养护工程项目中路面病害具有实时发展的特点，为保证病害处治到位，基于本项目“动态设计”的原则，在路面病害处治实施前，由监理方组织，业主方、监理方、设计方、施工方共同对路面病害范围进行现场核查并确定病害处治的具体实施范围</w:t>
      </w:r>
      <w:r>
        <w:rPr>
          <w:rFonts w:hint="eastAsia" w:ascii="仿宋" w:hAnsi="仿宋" w:eastAsia="仿宋" w:cs="仿宋"/>
          <w:color w:val="auto"/>
          <w:highlight w:val="none"/>
          <w:lang w:eastAsia="zh-CN"/>
        </w:rPr>
        <w:t>，</w:t>
      </w:r>
      <w:r>
        <w:rPr>
          <w:rFonts w:hint="eastAsia" w:ascii="仿宋" w:hAnsi="仿宋" w:eastAsia="仿宋" w:cs="仿宋"/>
          <w:color w:val="auto"/>
          <w:sz w:val="24"/>
          <w:szCs w:val="24"/>
          <w:highlight w:val="none"/>
        </w:rPr>
        <w:t>并按实计量。</w:t>
      </w:r>
    </w:p>
    <w:p w14:paraId="71818AAE">
      <w:pPr>
        <w:bidi w:val="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4</w:t>
      </w: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本项目存在占道施工、边施工边通行的问题，在施工前应做好交通组织专项施工方案和施工安全专项方案，确保施工安全和行人安全。</w:t>
      </w:r>
    </w:p>
    <w:p w14:paraId="34B8C7F4">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5</w:t>
      </w:r>
      <w:r>
        <w:rPr>
          <w:rFonts w:hint="eastAsia" w:ascii="仿宋" w:hAnsi="仿宋" w:eastAsia="仿宋" w:cs="仿宋"/>
          <w:color w:val="auto"/>
          <w:highlight w:val="none"/>
          <w:lang w:eastAsia="zh-CN"/>
        </w:rPr>
        <w:t>）</w:t>
      </w:r>
      <w:r>
        <w:rPr>
          <w:rFonts w:hint="eastAsia" w:ascii="仿宋" w:hAnsi="仿宋" w:eastAsia="仿宋" w:cs="仿宋"/>
          <w:color w:val="auto"/>
          <w:highlight w:val="none"/>
        </w:rPr>
        <w:t>未尽事宜，按有关规范、规定办理</w:t>
      </w:r>
      <w:r>
        <w:rPr>
          <w:rFonts w:hint="eastAsia" w:ascii="仿宋" w:hAnsi="仿宋" w:eastAsia="仿宋" w:cs="仿宋"/>
          <w:color w:val="auto"/>
          <w:highlight w:val="none"/>
          <w:lang w:eastAsia="zh-CN"/>
        </w:rPr>
        <w:t>，</w:t>
      </w:r>
      <w:r>
        <w:rPr>
          <w:rFonts w:hint="eastAsia" w:ascii="仿宋" w:hAnsi="仿宋" w:eastAsia="仿宋" w:cs="仿宋"/>
          <w:color w:val="auto"/>
          <w:highlight w:val="none"/>
        </w:rPr>
        <w:t>施工时须严格遵守国家现行施工验收规范。若无相关规范规定可由建设单位、施工单位和设计单位协商解决。</w:t>
      </w:r>
    </w:p>
    <w:p w14:paraId="76382A3E">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6</w:t>
      </w: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根据“渝府办【2019】4号文件"和“渝建【2019】434号文件”的要求，本项目使用建筑垃圾资源化再生产品替代用量应不少于30%。</w:t>
      </w:r>
    </w:p>
    <w:p w14:paraId="759E048D">
      <w:pPr>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（7）本项目所产生弃方考虑外弃，运距暂定为10Km，以业主最终指定为准。</w:t>
      </w:r>
    </w:p>
    <w:p w14:paraId="7AB9B039">
      <w:pPr>
        <w:keepNext/>
        <w:keepLines/>
        <w:pageBreakBefore w:val="0"/>
        <w:widowControl w:val="0"/>
        <w:numPr>
          <w:ilvl w:val="0"/>
          <w:numId w:val="0"/>
        </w:numPr>
        <w:kinsoku/>
        <w:wordWrap/>
        <w:overflowPunct/>
        <w:topLinePunct w:val="0"/>
        <w:autoSpaceDE/>
        <w:autoSpaceDN/>
        <w:bidi w:val="0"/>
        <w:adjustRightInd/>
        <w:snapToGrid/>
        <w:ind w:leftChars="0"/>
        <w:jc w:val="left"/>
        <w:textAlignment w:val="auto"/>
        <w:outlineLvl w:val="0"/>
        <w:rPr>
          <w:rFonts w:hint="eastAsia" w:ascii="仿宋" w:hAnsi="仿宋" w:eastAsia="仿宋" w:cs="仿宋"/>
          <w:b/>
          <w:bCs/>
          <w:color w:val="auto"/>
          <w:sz w:val="28"/>
          <w:szCs w:val="28"/>
          <w:highlight w:val="none"/>
          <w:lang w:val="en-US" w:eastAsia="zh-CN"/>
        </w:rPr>
      </w:pPr>
      <w:bookmarkStart w:id="121" w:name="_Toc5824"/>
      <w:r>
        <w:rPr>
          <w:rFonts w:hint="eastAsia" w:ascii="仿宋" w:hAnsi="仿宋" w:eastAsia="仿宋" w:cs="仿宋"/>
          <w:b/>
          <w:bCs/>
          <w:color w:val="auto"/>
          <w:sz w:val="28"/>
          <w:szCs w:val="28"/>
          <w:highlight w:val="none"/>
          <w:lang w:val="en-US" w:eastAsia="zh-CN"/>
        </w:rPr>
        <w:t>8 工程数量表</w:t>
      </w:r>
      <w:bookmarkEnd w:id="85"/>
      <w:bookmarkEnd w:id="86"/>
      <w:bookmarkEnd w:id="87"/>
      <w:bookmarkEnd w:id="121"/>
    </w:p>
    <w:tbl>
      <w:tblPr>
        <w:tblStyle w:val="88"/>
        <w:tblW w:w="1004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1108"/>
        <w:gridCol w:w="3779"/>
        <w:gridCol w:w="901"/>
        <w:gridCol w:w="1563"/>
        <w:gridCol w:w="2689"/>
      </w:tblGrid>
      <w:tr w14:paraId="5BE9CE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20" w:hRule="atLeast"/>
          <w:jc w:val="center"/>
        </w:trPr>
        <w:tc>
          <w:tcPr>
            <w:tcW w:w="10040" w:type="dxa"/>
            <w:gridSpan w:val="5"/>
            <w:tcBorders>
              <w:tl2br w:val="nil"/>
              <w:tr2bl w:val="nil"/>
            </w:tcBorders>
            <w:shd w:val="clear" w:color="auto" w:fill="auto"/>
            <w:noWrap/>
            <w:vAlign w:val="center"/>
          </w:tcPr>
          <w:p w14:paraId="0E5E245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重庆东站站前片区地下管网改造提升工程(一期)-广茂大道局部改造升级 投资</w:t>
            </w:r>
          </w:p>
        </w:tc>
      </w:tr>
      <w:tr w14:paraId="4A41B0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18" w:hRule="atLeast"/>
          <w:jc w:val="center"/>
        </w:trPr>
        <w:tc>
          <w:tcPr>
            <w:tcW w:w="1108" w:type="dxa"/>
            <w:tcBorders>
              <w:tl2br w:val="nil"/>
              <w:tr2bl w:val="nil"/>
            </w:tcBorders>
            <w:shd w:val="clear" w:color="auto" w:fill="auto"/>
            <w:noWrap/>
            <w:vAlign w:val="center"/>
          </w:tcPr>
          <w:p w14:paraId="7FEC005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序号</w:t>
            </w:r>
          </w:p>
        </w:tc>
        <w:tc>
          <w:tcPr>
            <w:tcW w:w="3779" w:type="dxa"/>
            <w:tcBorders>
              <w:tl2br w:val="nil"/>
              <w:tr2bl w:val="nil"/>
            </w:tcBorders>
            <w:shd w:val="clear" w:color="auto" w:fill="auto"/>
            <w:noWrap/>
            <w:vAlign w:val="center"/>
          </w:tcPr>
          <w:p w14:paraId="3E9DFBB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工程或费用名称</w:t>
            </w:r>
          </w:p>
        </w:tc>
        <w:tc>
          <w:tcPr>
            <w:tcW w:w="901" w:type="dxa"/>
            <w:tcBorders>
              <w:tl2br w:val="nil"/>
              <w:tr2bl w:val="nil"/>
            </w:tcBorders>
            <w:shd w:val="clear" w:color="auto" w:fill="auto"/>
            <w:noWrap/>
            <w:vAlign w:val="center"/>
          </w:tcPr>
          <w:p w14:paraId="5FA7CF7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单位</w:t>
            </w:r>
          </w:p>
        </w:tc>
        <w:tc>
          <w:tcPr>
            <w:tcW w:w="1563" w:type="dxa"/>
            <w:tcBorders>
              <w:tl2br w:val="nil"/>
              <w:tr2bl w:val="nil"/>
            </w:tcBorders>
            <w:shd w:val="clear" w:color="auto" w:fill="auto"/>
            <w:noWrap/>
            <w:vAlign w:val="center"/>
          </w:tcPr>
          <w:p w14:paraId="2BC30CF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工程数量</w:t>
            </w:r>
          </w:p>
        </w:tc>
        <w:tc>
          <w:tcPr>
            <w:tcW w:w="2689" w:type="dxa"/>
            <w:tcBorders>
              <w:tl2br w:val="nil"/>
              <w:tr2bl w:val="nil"/>
            </w:tcBorders>
            <w:shd w:val="clear" w:color="auto" w:fill="auto"/>
            <w:noWrap/>
            <w:vAlign w:val="center"/>
          </w:tcPr>
          <w:p w14:paraId="5340F1B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备注</w:t>
            </w:r>
          </w:p>
        </w:tc>
      </w:tr>
      <w:tr w14:paraId="16C33C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2" w:hRule="atLeast"/>
          <w:jc w:val="center"/>
        </w:trPr>
        <w:tc>
          <w:tcPr>
            <w:tcW w:w="1108" w:type="dxa"/>
            <w:tcBorders>
              <w:tl2br w:val="nil"/>
              <w:tr2bl w:val="nil"/>
            </w:tcBorders>
            <w:shd w:val="clear" w:color="auto" w:fill="auto"/>
            <w:noWrap/>
            <w:vAlign w:val="center"/>
          </w:tcPr>
          <w:p w14:paraId="2F5EF98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一</w:t>
            </w:r>
          </w:p>
        </w:tc>
        <w:tc>
          <w:tcPr>
            <w:tcW w:w="3779" w:type="dxa"/>
            <w:tcBorders>
              <w:tl2br w:val="nil"/>
              <w:tr2bl w:val="nil"/>
            </w:tcBorders>
            <w:shd w:val="clear" w:color="auto" w:fill="auto"/>
            <w:noWrap/>
            <w:vAlign w:val="center"/>
          </w:tcPr>
          <w:p w14:paraId="252AD9F3">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车行道修复</w:t>
            </w:r>
          </w:p>
        </w:tc>
        <w:tc>
          <w:tcPr>
            <w:tcW w:w="901" w:type="dxa"/>
            <w:tcBorders>
              <w:tl2br w:val="nil"/>
              <w:tr2bl w:val="nil"/>
            </w:tcBorders>
            <w:shd w:val="clear" w:color="auto" w:fill="auto"/>
            <w:noWrap/>
            <w:vAlign w:val="center"/>
          </w:tcPr>
          <w:p w14:paraId="52F426A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p>
        </w:tc>
        <w:tc>
          <w:tcPr>
            <w:tcW w:w="1563" w:type="dxa"/>
            <w:tcBorders>
              <w:tl2br w:val="nil"/>
              <w:tr2bl w:val="nil"/>
            </w:tcBorders>
            <w:shd w:val="clear" w:color="auto" w:fill="auto"/>
            <w:noWrap/>
            <w:vAlign w:val="center"/>
          </w:tcPr>
          <w:p w14:paraId="1D3DF07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p>
        </w:tc>
        <w:tc>
          <w:tcPr>
            <w:tcW w:w="2689" w:type="dxa"/>
            <w:tcBorders>
              <w:tl2br w:val="nil"/>
              <w:tr2bl w:val="nil"/>
            </w:tcBorders>
            <w:shd w:val="clear" w:color="auto" w:fill="auto"/>
            <w:noWrap/>
            <w:vAlign w:val="center"/>
          </w:tcPr>
          <w:p w14:paraId="7841AB58">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33ACC7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2" w:hRule="atLeast"/>
          <w:jc w:val="center"/>
        </w:trPr>
        <w:tc>
          <w:tcPr>
            <w:tcW w:w="1108" w:type="dxa"/>
            <w:tcBorders>
              <w:tl2br w:val="nil"/>
              <w:tr2bl w:val="nil"/>
            </w:tcBorders>
            <w:shd w:val="clear" w:color="auto" w:fill="auto"/>
            <w:noWrap/>
            <w:vAlign w:val="center"/>
          </w:tcPr>
          <w:p w14:paraId="7A4D64B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1.1</w:t>
            </w:r>
          </w:p>
        </w:tc>
        <w:tc>
          <w:tcPr>
            <w:tcW w:w="3779" w:type="dxa"/>
            <w:tcBorders>
              <w:tl2br w:val="nil"/>
              <w:tr2bl w:val="nil"/>
            </w:tcBorders>
            <w:shd w:val="clear" w:color="auto" w:fill="auto"/>
            <w:vAlign w:val="center"/>
          </w:tcPr>
          <w:p w14:paraId="3C2A3138">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Ⅱ类病害路面修复</w:t>
            </w:r>
          </w:p>
        </w:tc>
        <w:tc>
          <w:tcPr>
            <w:tcW w:w="901" w:type="dxa"/>
            <w:tcBorders>
              <w:tl2br w:val="nil"/>
              <w:tr2bl w:val="nil"/>
            </w:tcBorders>
            <w:shd w:val="clear" w:color="auto" w:fill="auto"/>
            <w:vAlign w:val="center"/>
          </w:tcPr>
          <w:p w14:paraId="70D5409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p>
        </w:tc>
        <w:tc>
          <w:tcPr>
            <w:tcW w:w="1563" w:type="dxa"/>
            <w:tcBorders>
              <w:tl2br w:val="nil"/>
              <w:tr2bl w:val="nil"/>
            </w:tcBorders>
            <w:shd w:val="clear" w:color="auto" w:fill="auto"/>
            <w:vAlign w:val="center"/>
          </w:tcPr>
          <w:p w14:paraId="149BFCD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p>
        </w:tc>
        <w:tc>
          <w:tcPr>
            <w:tcW w:w="2689" w:type="dxa"/>
            <w:tcBorders>
              <w:tl2br w:val="nil"/>
              <w:tr2bl w:val="nil"/>
            </w:tcBorders>
            <w:shd w:val="clear" w:color="auto" w:fill="auto"/>
            <w:vAlign w:val="center"/>
          </w:tcPr>
          <w:p w14:paraId="433B9E78">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33B30D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1108" w:type="dxa"/>
            <w:tcBorders>
              <w:tl2br w:val="nil"/>
              <w:tr2bl w:val="nil"/>
            </w:tcBorders>
            <w:shd w:val="clear" w:color="auto" w:fill="auto"/>
            <w:noWrap/>
            <w:vAlign w:val="center"/>
          </w:tcPr>
          <w:p w14:paraId="40CF30B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1.1.1</w:t>
            </w:r>
          </w:p>
        </w:tc>
        <w:tc>
          <w:tcPr>
            <w:tcW w:w="3779" w:type="dxa"/>
            <w:tcBorders>
              <w:tl2br w:val="nil"/>
              <w:tr2bl w:val="nil"/>
            </w:tcBorders>
            <w:shd w:val="clear" w:color="auto" w:fill="auto"/>
            <w:vAlign w:val="center"/>
          </w:tcPr>
          <w:p w14:paraId="0630D6F9">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Ⅱ类病害路面开挖78.7cm厚</w:t>
            </w:r>
          </w:p>
        </w:tc>
        <w:tc>
          <w:tcPr>
            <w:tcW w:w="901" w:type="dxa"/>
            <w:tcBorders>
              <w:tl2br w:val="nil"/>
              <w:tr2bl w:val="nil"/>
            </w:tcBorders>
            <w:shd w:val="clear" w:color="auto" w:fill="auto"/>
            <w:vAlign w:val="center"/>
          </w:tcPr>
          <w:p w14:paraId="1AABA92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41C104E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3465.08</w:t>
            </w:r>
          </w:p>
        </w:tc>
        <w:tc>
          <w:tcPr>
            <w:tcW w:w="2689" w:type="dxa"/>
            <w:tcBorders>
              <w:tl2br w:val="nil"/>
              <w:tr2bl w:val="nil"/>
            </w:tcBorders>
            <w:shd w:val="clear" w:color="auto" w:fill="auto"/>
            <w:vAlign w:val="center"/>
          </w:tcPr>
          <w:p w14:paraId="391D8832">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2A5A88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1108" w:type="dxa"/>
            <w:tcBorders>
              <w:tl2br w:val="nil"/>
              <w:tr2bl w:val="nil"/>
            </w:tcBorders>
            <w:shd w:val="clear" w:color="auto" w:fill="auto"/>
            <w:noWrap/>
            <w:vAlign w:val="center"/>
          </w:tcPr>
          <w:p w14:paraId="321D2F9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1.1.2</w:t>
            </w:r>
          </w:p>
        </w:tc>
        <w:tc>
          <w:tcPr>
            <w:tcW w:w="3779" w:type="dxa"/>
            <w:tcBorders>
              <w:tl2br w:val="nil"/>
              <w:tr2bl w:val="nil"/>
            </w:tcBorders>
            <w:shd w:val="clear" w:color="auto" w:fill="auto"/>
            <w:vAlign w:val="center"/>
          </w:tcPr>
          <w:p w14:paraId="3C510A3A">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4cm厚沥青玛蹄脂碎石SMA-13</w:t>
            </w:r>
          </w:p>
        </w:tc>
        <w:tc>
          <w:tcPr>
            <w:tcW w:w="901" w:type="dxa"/>
            <w:tcBorders>
              <w:tl2br w:val="nil"/>
              <w:tr2bl w:val="nil"/>
            </w:tcBorders>
            <w:shd w:val="clear" w:color="auto" w:fill="auto"/>
            <w:vAlign w:val="center"/>
          </w:tcPr>
          <w:p w14:paraId="08770EB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20D40DF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4389.86</w:t>
            </w:r>
          </w:p>
        </w:tc>
        <w:tc>
          <w:tcPr>
            <w:tcW w:w="2689" w:type="dxa"/>
            <w:tcBorders>
              <w:tl2br w:val="nil"/>
              <w:tr2bl w:val="nil"/>
            </w:tcBorders>
            <w:shd w:val="clear" w:color="auto" w:fill="auto"/>
            <w:vAlign w:val="center"/>
          </w:tcPr>
          <w:p w14:paraId="38B00B75">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1CC0B7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5" w:hRule="atLeast"/>
          <w:jc w:val="center"/>
        </w:trPr>
        <w:tc>
          <w:tcPr>
            <w:tcW w:w="1108" w:type="dxa"/>
            <w:tcBorders>
              <w:tl2br w:val="nil"/>
              <w:tr2bl w:val="nil"/>
            </w:tcBorders>
            <w:shd w:val="clear" w:color="auto" w:fill="auto"/>
            <w:noWrap/>
            <w:vAlign w:val="center"/>
          </w:tcPr>
          <w:p w14:paraId="4E4B45E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1.1.3</w:t>
            </w:r>
          </w:p>
        </w:tc>
        <w:tc>
          <w:tcPr>
            <w:tcW w:w="3779" w:type="dxa"/>
            <w:tcBorders>
              <w:tl2br w:val="nil"/>
              <w:tr2bl w:val="nil"/>
            </w:tcBorders>
            <w:shd w:val="clear" w:color="auto" w:fill="auto"/>
            <w:vAlign w:val="center"/>
          </w:tcPr>
          <w:p w14:paraId="4325172B">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0.4-0.6kg/m2改性乳化沥青粘层</w:t>
            </w:r>
          </w:p>
        </w:tc>
        <w:tc>
          <w:tcPr>
            <w:tcW w:w="901" w:type="dxa"/>
            <w:tcBorders>
              <w:tl2br w:val="nil"/>
              <w:tr2bl w:val="nil"/>
            </w:tcBorders>
            <w:shd w:val="clear" w:color="auto" w:fill="auto"/>
            <w:vAlign w:val="center"/>
          </w:tcPr>
          <w:p w14:paraId="1458CCB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3EC5893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4389.86</w:t>
            </w:r>
          </w:p>
        </w:tc>
        <w:tc>
          <w:tcPr>
            <w:tcW w:w="2689" w:type="dxa"/>
            <w:tcBorders>
              <w:tl2br w:val="nil"/>
              <w:tr2bl w:val="nil"/>
            </w:tcBorders>
            <w:shd w:val="clear" w:color="auto" w:fill="auto"/>
            <w:vAlign w:val="center"/>
          </w:tcPr>
          <w:p w14:paraId="68E88F55">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05E103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89" w:hRule="atLeast"/>
          <w:jc w:val="center"/>
        </w:trPr>
        <w:tc>
          <w:tcPr>
            <w:tcW w:w="1108" w:type="dxa"/>
            <w:tcBorders>
              <w:tl2br w:val="nil"/>
              <w:tr2bl w:val="nil"/>
            </w:tcBorders>
            <w:shd w:val="clear" w:color="auto" w:fill="auto"/>
            <w:noWrap/>
            <w:vAlign w:val="center"/>
          </w:tcPr>
          <w:p w14:paraId="3758681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1.1.4</w:t>
            </w:r>
          </w:p>
        </w:tc>
        <w:tc>
          <w:tcPr>
            <w:tcW w:w="3779" w:type="dxa"/>
            <w:tcBorders>
              <w:tl2br w:val="nil"/>
              <w:tr2bl w:val="nil"/>
            </w:tcBorders>
            <w:shd w:val="clear" w:color="auto" w:fill="auto"/>
            <w:vAlign w:val="center"/>
          </w:tcPr>
          <w:p w14:paraId="20B5ABE8">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6cm厚中粒式改性沥青混合料（AC-20）</w:t>
            </w:r>
          </w:p>
        </w:tc>
        <w:tc>
          <w:tcPr>
            <w:tcW w:w="901" w:type="dxa"/>
            <w:tcBorders>
              <w:tl2br w:val="nil"/>
              <w:tr2bl w:val="nil"/>
            </w:tcBorders>
            <w:shd w:val="clear" w:color="auto" w:fill="auto"/>
            <w:vAlign w:val="center"/>
          </w:tcPr>
          <w:p w14:paraId="439845E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49FA0E9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4158.67</w:t>
            </w:r>
          </w:p>
        </w:tc>
        <w:tc>
          <w:tcPr>
            <w:tcW w:w="2689" w:type="dxa"/>
            <w:tcBorders>
              <w:tl2br w:val="nil"/>
              <w:tr2bl w:val="nil"/>
            </w:tcBorders>
            <w:shd w:val="clear" w:color="auto" w:fill="auto"/>
            <w:vAlign w:val="center"/>
          </w:tcPr>
          <w:p w14:paraId="13E87616">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3A4299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5" w:hRule="atLeast"/>
          <w:jc w:val="center"/>
        </w:trPr>
        <w:tc>
          <w:tcPr>
            <w:tcW w:w="1108" w:type="dxa"/>
            <w:tcBorders>
              <w:tl2br w:val="nil"/>
              <w:tr2bl w:val="nil"/>
            </w:tcBorders>
            <w:shd w:val="clear" w:color="auto" w:fill="auto"/>
            <w:noWrap/>
            <w:vAlign w:val="center"/>
          </w:tcPr>
          <w:p w14:paraId="1B4E3B6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1.1.5</w:t>
            </w:r>
          </w:p>
        </w:tc>
        <w:tc>
          <w:tcPr>
            <w:tcW w:w="3779" w:type="dxa"/>
            <w:tcBorders>
              <w:tl2br w:val="nil"/>
              <w:tr2bl w:val="nil"/>
            </w:tcBorders>
            <w:shd w:val="clear" w:color="auto" w:fill="auto"/>
            <w:vAlign w:val="center"/>
          </w:tcPr>
          <w:p w14:paraId="54627C67">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0.4-0.6kg/m2改性乳化沥青粘层</w:t>
            </w:r>
          </w:p>
        </w:tc>
        <w:tc>
          <w:tcPr>
            <w:tcW w:w="901" w:type="dxa"/>
            <w:tcBorders>
              <w:tl2br w:val="nil"/>
              <w:tr2bl w:val="nil"/>
            </w:tcBorders>
            <w:shd w:val="clear" w:color="auto" w:fill="auto"/>
            <w:vAlign w:val="center"/>
          </w:tcPr>
          <w:p w14:paraId="75AF8DC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2F2F4AD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4158.67</w:t>
            </w:r>
          </w:p>
        </w:tc>
        <w:tc>
          <w:tcPr>
            <w:tcW w:w="2689" w:type="dxa"/>
            <w:tcBorders>
              <w:tl2br w:val="nil"/>
              <w:tr2bl w:val="nil"/>
            </w:tcBorders>
            <w:shd w:val="clear" w:color="auto" w:fill="auto"/>
            <w:vAlign w:val="center"/>
          </w:tcPr>
          <w:p w14:paraId="7567B8FF">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66362C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1108" w:type="dxa"/>
            <w:tcBorders>
              <w:tl2br w:val="nil"/>
              <w:tr2bl w:val="nil"/>
            </w:tcBorders>
            <w:shd w:val="clear" w:color="auto" w:fill="auto"/>
            <w:noWrap/>
            <w:vAlign w:val="center"/>
          </w:tcPr>
          <w:p w14:paraId="55A4343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1.1.6</w:t>
            </w:r>
          </w:p>
        </w:tc>
        <w:tc>
          <w:tcPr>
            <w:tcW w:w="3779" w:type="dxa"/>
            <w:tcBorders>
              <w:tl2br w:val="nil"/>
              <w:tr2bl w:val="nil"/>
            </w:tcBorders>
            <w:shd w:val="clear" w:color="auto" w:fill="auto"/>
            <w:vAlign w:val="center"/>
          </w:tcPr>
          <w:p w14:paraId="653614C2">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8cm厚AC-25粗粒式沥青混合料</w:t>
            </w:r>
          </w:p>
        </w:tc>
        <w:tc>
          <w:tcPr>
            <w:tcW w:w="901" w:type="dxa"/>
            <w:tcBorders>
              <w:tl2br w:val="nil"/>
              <w:tr2bl w:val="nil"/>
            </w:tcBorders>
            <w:shd w:val="clear" w:color="auto" w:fill="auto"/>
            <w:vAlign w:val="center"/>
          </w:tcPr>
          <w:p w14:paraId="20B48D4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15F2E38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3927.47</w:t>
            </w:r>
          </w:p>
        </w:tc>
        <w:tc>
          <w:tcPr>
            <w:tcW w:w="2689" w:type="dxa"/>
            <w:tcBorders>
              <w:tl2br w:val="nil"/>
              <w:tr2bl w:val="nil"/>
            </w:tcBorders>
            <w:shd w:val="clear" w:color="auto" w:fill="auto"/>
            <w:vAlign w:val="center"/>
          </w:tcPr>
          <w:p w14:paraId="28392B87">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33AEF6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1108" w:type="dxa"/>
            <w:tcBorders>
              <w:tl2br w:val="nil"/>
              <w:tr2bl w:val="nil"/>
            </w:tcBorders>
            <w:shd w:val="clear" w:color="auto" w:fill="auto"/>
            <w:noWrap/>
            <w:vAlign w:val="center"/>
          </w:tcPr>
          <w:p w14:paraId="2F45D55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1.1.7</w:t>
            </w:r>
          </w:p>
        </w:tc>
        <w:tc>
          <w:tcPr>
            <w:tcW w:w="3779" w:type="dxa"/>
            <w:tcBorders>
              <w:tl2br w:val="nil"/>
              <w:tr2bl w:val="nil"/>
            </w:tcBorders>
            <w:shd w:val="clear" w:color="auto" w:fill="auto"/>
            <w:vAlign w:val="center"/>
          </w:tcPr>
          <w:p w14:paraId="50C31B1A">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0.7cm厚稀浆封层</w:t>
            </w:r>
          </w:p>
        </w:tc>
        <w:tc>
          <w:tcPr>
            <w:tcW w:w="901" w:type="dxa"/>
            <w:tcBorders>
              <w:tl2br w:val="nil"/>
              <w:tr2bl w:val="nil"/>
            </w:tcBorders>
            <w:shd w:val="clear" w:color="auto" w:fill="auto"/>
            <w:vAlign w:val="center"/>
          </w:tcPr>
          <w:p w14:paraId="5A83543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72B8027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3927.47</w:t>
            </w:r>
          </w:p>
        </w:tc>
        <w:tc>
          <w:tcPr>
            <w:tcW w:w="2689" w:type="dxa"/>
            <w:tcBorders>
              <w:tl2br w:val="nil"/>
              <w:tr2bl w:val="nil"/>
            </w:tcBorders>
            <w:shd w:val="clear" w:color="auto" w:fill="auto"/>
            <w:vAlign w:val="center"/>
          </w:tcPr>
          <w:p w14:paraId="26F790F4">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40A6CA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1108" w:type="dxa"/>
            <w:tcBorders>
              <w:tl2br w:val="nil"/>
              <w:tr2bl w:val="nil"/>
            </w:tcBorders>
            <w:shd w:val="clear" w:color="auto" w:fill="auto"/>
            <w:noWrap/>
            <w:vAlign w:val="center"/>
          </w:tcPr>
          <w:p w14:paraId="4FE5C42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1.1.8</w:t>
            </w:r>
          </w:p>
        </w:tc>
        <w:tc>
          <w:tcPr>
            <w:tcW w:w="3779" w:type="dxa"/>
            <w:tcBorders>
              <w:tl2br w:val="nil"/>
              <w:tr2bl w:val="nil"/>
            </w:tcBorders>
            <w:shd w:val="clear" w:color="auto" w:fill="auto"/>
            <w:vAlign w:val="center"/>
          </w:tcPr>
          <w:p w14:paraId="3BD08EA3">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20cm厚C30砼基层</w:t>
            </w:r>
          </w:p>
        </w:tc>
        <w:tc>
          <w:tcPr>
            <w:tcW w:w="901" w:type="dxa"/>
            <w:tcBorders>
              <w:tl2br w:val="nil"/>
              <w:tr2bl w:val="nil"/>
            </w:tcBorders>
            <w:shd w:val="clear" w:color="auto" w:fill="auto"/>
            <w:vAlign w:val="center"/>
          </w:tcPr>
          <w:p w14:paraId="2660548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6994309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3696.28</w:t>
            </w:r>
          </w:p>
        </w:tc>
        <w:tc>
          <w:tcPr>
            <w:tcW w:w="2689" w:type="dxa"/>
            <w:tcBorders>
              <w:tl2br w:val="nil"/>
              <w:tr2bl w:val="nil"/>
            </w:tcBorders>
            <w:shd w:val="clear" w:color="auto" w:fill="auto"/>
            <w:vAlign w:val="center"/>
          </w:tcPr>
          <w:p w14:paraId="1E3A9065">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03B964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1108" w:type="dxa"/>
            <w:tcBorders>
              <w:tl2br w:val="nil"/>
              <w:tr2bl w:val="nil"/>
            </w:tcBorders>
            <w:shd w:val="clear" w:color="auto" w:fill="auto"/>
            <w:noWrap/>
            <w:vAlign w:val="center"/>
          </w:tcPr>
          <w:p w14:paraId="02BB5F4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1.1.9</w:t>
            </w:r>
          </w:p>
        </w:tc>
        <w:tc>
          <w:tcPr>
            <w:tcW w:w="3779" w:type="dxa"/>
            <w:tcBorders>
              <w:tl2br w:val="nil"/>
              <w:tr2bl w:val="nil"/>
            </w:tcBorders>
            <w:shd w:val="clear" w:color="auto" w:fill="auto"/>
            <w:vAlign w:val="center"/>
          </w:tcPr>
          <w:p w14:paraId="23A65901">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20cm厚C20砼基层</w:t>
            </w:r>
          </w:p>
        </w:tc>
        <w:tc>
          <w:tcPr>
            <w:tcW w:w="901" w:type="dxa"/>
            <w:tcBorders>
              <w:tl2br w:val="nil"/>
              <w:tr2bl w:val="nil"/>
            </w:tcBorders>
            <w:shd w:val="clear" w:color="auto" w:fill="auto"/>
            <w:vAlign w:val="center"/>
          </w:tcPr>
          <w:p w14:paraId="10A8023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013DE73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3465.08</w:t>
            </w:r>
          </w:p>
        </w:tc>
        <w:tc>
          <w:tcPr>
            <w:tcW w:w="2689" w:type="dxa"/>
            <w:tcBorders>
              <w:tl2br w:val="nil"/>
              <w:tr2bl w:val="nil"/>
            </w:tcBorders>
            <w:shd w:val="clear" w:color="auto" w:fill="auto"/>
            <w:vAlign w:val="center"/>
          </w:tcPr>
          <w:p w14:paraId="0C698408">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321CC1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1108" w:type="dxa"/>
            <w:tcBorders>
              <w:tl2br w:val="nil"/>
              <w:tr2bl w:val="nil"/>
            </w:tcBorders>
            <w:shd w:val="clear" w:color="auto" w:fill="auto"/>
            <w:noWrap/>
            <w:vAlign w:val="center"/>
          </w:tcPr>
          <w:p w14:paraId="40E59E6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1.1.10</w:t>
            </w:r>
          </w:p>
        </w:tc>
        <w:tc>
          <w:tcPr>
            <w:tcW w:w="3779" w:type="dxa"/>
            <w:tcBorders>
              <w:tl2br w:val="nil"/>
              <w:tr2bl w:val="nil"/>
            </w:tcBorders>
            <w:shd w:val="clear" w:color="auto" w:fill="auto"/>
            <w:vAlign w:val="center"/>
          </w:tcPr>
          <w:p w14:paraId="22B1845A">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20cm厚级配碎石垫层</w:t>
            </w:r>
          </w:p>
        </w:tc>
        <w:tc>
          <w:tcPr>
            <w:tcW w:w="901" w:type="dxa"/>
            <w:tcBorders>
              <w:tl2br w:val="nil"/>
              <w:tr2bl w:val="nil"/>
            </w:tcBorders>
            <w:shd w:val="clear" w:color="auto" w:fill="auto"/>
            <w:vAlign w:val="center"/>
          </w:tcPr>
          <w:p w14:paraId="36544E5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714961D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3465.08</w:t>
            </w:r>
          </w:p>
        </w:tc>
        <w:tc>
          <w:tcPr>
            <w:tcW w:w="2689" w:type="dxa"/>
            <w:tcBorders>
              <w:tl2br w:val="nil"/>
              <w:tr2bl w:val="nil"/>
            </w:tcBorders>
            <w:shd w:val="clear" w:color="auto" w:fill="auto"/>
            <w:vAlign w:val="center"/>
          </w:tcPr>
          <w:p w14:paraId="074211F8">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1AD34C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2" w:hRule="atLeast"/>
          <w:jc w:val="center"/>
        </w:trPr>
        <w:tc>
          <w:tcPr>
            <w:tcW w:w="1108" w:type="dxa"/>
            <w:tcBorders>
              <w:tl2br w:val="nil"/>
              <w:tr2bl w:val="nil"/>
            </w:tcBorders>
            <w:shd w:val="clear" w:color="auto" w:fill="auto"/>
            <w:noWrap/>
            <w:vAlign w:val="center"/>
          </w:tcPr>
          <w:p w14:paraId="218B8E3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1.2</w:t>
            </w:r>
          </w:p>
        </w:tc>
        <w:tc>
          <w:tcPr>
            <w:tcW w:w="3779" w:type="dxa"/>
            <w:tcBorders>
              <w:tl2br w:val="nil"/>
              <w:tr2bl w:val="nil"/>
            </w:tcBorders>
            <w:shd w:val="clear" w:color="auto" w:fill="auto"/>
            <w:vAlign w:val="center"/>
          </w:tcPr>
          <w:p w14:paraId="236DB3AF">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Ⅲ类病害路面修复</w:t>
            </w:r>
          </w:p>
        </w:tc>
        <w:tc>
          <w:tcPr>
            <w:tcW w:w="901" w:type="dxa"/>
            <w:tcBorders>
              <w:tl2br w:val="nil"/>
              <w:tr2bl w:val="nil"/>
            </w:tcBorders>
            <w:shd w:val="clear" w:color="auto" w:fill="auto"/>
            <w:vAlign w:val="center"/>
          </w:tcPr>
          <w:p w14:paraId="266B12B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p>
        </w:tc>
        <w:tc>
          <w:tcPr>
            <w:tcW w:w="1563" w:type="dxa"/>
            <w:tcBorders>
              <w:tl2br w:val="nil"/>
              <w:tr2bl w:val="nil"/>
            </w:tcBorders>
            <w:shd w:val="clear" w:color="auto" w:fill="auto"/>
            <w:vAlign w:val="center"/>
          </w:tcPr>
          <w:p w14:paraId="7000241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p>
        </w:tc>
        <w:tc>
          <w:tcPr>
            <w:tcW w:w="2689" w:type="dxa"/>
            <w:tcBorders>
              <w:tl2br w:val="nil"/>
              <w:tr2bl w:val="nil"/>
            </w:tcBorders>
            <w:shd w:val="clear" w:color="auto" w:fill="auto"/>
            <w:vAlign w:val="center"/>
          </w:tcPr>
          <w:p w14:paraId="5879B20F">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7562BB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1108" w:type="dxa"/>
            <w:tcBorders>
              <w:tl2br w:val="nil"/>
              <w:tr2bl w:val="nil"/>
            </w:tcBorders>
            <w:shd w:val="clear" w:color="auto" w:fill="auto"/>
            <w:noWrap/>
            <w:vAlign w:val="center"/>
          </w:tcPr>
          <w:p w14:paraId="2BE4C1F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1.2.1</w:t>
            </w:r>
          </w:p>
        </w:tc>
        <w:tc>
          <w:tcPr>
            <w:tcW w:w="3779" w:type="dxa"/>
            <w:tcBorders>
              <w:tl2br w:val="nil"/>
              <w:tr2bl w:val="nil"/>
            </w:tcBorders>
            <w:shd w:val="clear" w:color="auto" w:fill="auto"/>
            <w:vAlign w:val="center"/>
          </w:tcPr>
          <w:p w14:paraId="22E5BD89">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Ⅲ类病害路面开挖38.7cm厚</w:t>
            </w:r>
          </w:p>
        </w:tc>
        <w:tc>
          <w:tcPr>
            <w:tcW w:w="901" w:type="dxa"/>
            <w:tcBorders>
              <w:tl2br w:val="nil"/>
              <w:tr2bl w:val="nil"/>
            </w:tcBorders>
            <w:shd w:val="clear" w:color="auto" w:fill="auto"/>
            <w:vAlign w:val="center"/>
          </w:tcPr>
          <w:p w14:paraId="5B42FFD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5C0D1A6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3459.70</w:t>
            </w:r>
          </w:p>
        </w:tc>
        <w:tc>
          <w:tcPr>
            <w:tcW w:w="2689" w:type="dxa"/>
            <w:tcBorders>
              <w:tl2br w:val="nil"/>
              <w:tr2bl w:val="nil"/>
            </w:tcBorders>
            <w:shd w:val="clear" w:color="auto" w:fill="auto"/>
            <w:vAlign w:val="center"/>
          </w:tcPr>
          <w:p w14:paraId="4745199B">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37929A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1108" w:type="dxa"/>
            <w:tcBorders>
              <w:tl2br w:val="nil"/>
              <w:tr2bl w:val="nil"/>
            </w:tcBorders>
            <w:shd w:val="clear" w:color="auto" w:fill="auto"/>
            <w:noWrap/>
            <w:vAlign w:val="center"/>
          </w:tcPr>
          <w:p w14:paraId="4B230D3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1.2.2</w:t>
            </w:r>
          </w:p>
        </w:tc>
        <w:tc>
          <w:tcPr>
            <w:tcW w:w="3779" w:type="dxa"/>
            <w:tcBorders>
              <w:tl2br w:val="nil"/>
              <w:tr2bl w:val="nil"/>
            </w:tcBorders>
            <w:shd w:val="clear" w:color="auto" w:fill="auto"/>
            <w:vAlign w:val="center"/>
          </w:tcPr>
          <w:p w14:paraId="683E1ACC">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4cm厚沥青玛蹄脂碎石SMA-13</w:t>
            </w:r>
          </w:p>
        </w:tc>
        <w:tc>
          <w:tcPr>
            <w:tcW w:w="901" w:type="dxa"/>
            <w:tcBorders>
              <w:tl2br w:val="nil"/>
              <w:tr2bl w:val="nil"/>
            </w:tcBorders>
            <w:shd w:val="clear" w:color="auto" w:fill="auto"/>
            <w:vAlign w:val="center"/>
          </w:tcPr>
          <w:p w14:paraId="33F6DC3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7A91968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4588.26</w:t>
            </w:r>
          </w:p>
        </w:tc>
        <w:tc>
          <w:tcPr>
            <w:tcW w:w="2689" w:type="dxa"/>
            <w:tcBorders>
              <w:tl2br w:val="nil"/>
              <w:tr2bl w:val="nil"/>
            </w:tcBorders>
            <w:shd w:val="clear" w:color="auto" w:fill="auto"/>
            <w:vAlign w:val="center"/>
          </w:tcPr>
          <w:p w14:paraId="21D6A228">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5E9B5B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5" w:hRule="atLeast"/>
          <w:jc w:val="center"/>
        </w:trPr>
        <w:tc>
          <w:tcPr>
            <w:tcW w:w="1108" w:type="dxa"/>
            <w:tcBorders>
              <w:tl2br w:val="nil"/>
              <w:tr2bl w:val="nil"/>
            </w:tcBorders>
            <w:shd w:val="clear" w:color="auto" w:fill="auto"/>
            <w:noWrap/>
            <w:vAlign w:val="center"/>
          </w:tcPr>
          <w:p w14:paraId="2CC329D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1.2.3</w:t>
            </w:r>
          </w:p>
        </w:tc>
        <w:tc>
          <w:tcPr>
            <w:tcW w:w="3779" w:type="dxa"/>
            <w:tcBorders>
              <w:tl2br w:val="nil"/>
              <w:tr2bl w:val="nil"/>
            </w:tcBorders>
            <w:shd w:val="clear" w:color="auto" w:fill="auto"/>
            <w:vAlign w:val="center"/>
          </w:tcPr>
          <w:p w14:paraId="7B8C8640">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0.4-0.6kg/m2改性乳化沥青粘层</w:t>
            </w:r>
          </w:p>
        </w:tc>
        <w:tc>
          <w:tcPr>
            <w:tcW w:w="901" w:type="dxa"/>
            <w:tcBorders>
              <w:tl2br w:val="nil"/>
              <w:tr2bl w:val="nil"/>
            </w:tcBorders>
            <w:shd w:val="clear" w:color="auto" w:fill="auto"/>
            <w:vAlign w:val="center"/>
          </w:tcPr>
          <w:p w14:paraId="52DC23E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25D9634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4588.26</w:t>
            </w:r>
          </w:p>
        </w:tc>
        <w:tc>
          <w:tcPr>
            <w:tcW w:w="2689" w:type="dxa"/>
            <w:tcBorders>
              <w:tl2br w:val="nil"/>
              <w:tr2bl w:val="nil"/>
            </w:tcBorders>
            <w:shd w:val="clear" w:color="auto" w:fill="auto"/>
            <w:vAlign w:val="center"/>
          </w:tcPr>
          <w:p w14:paraId="32C87A56">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1D1F9E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89" w:hRule="atLeast"/>
          <w:jc w:val="center"/>
        </w:trPr>
        <w:tc>
          <w:tcPr>
            <w:tcW w:w="1108" w:type="dxa"/>
            <w:tcBorders>
              <w:tl2br w:val="nil"/>
              <w:tr2bl w:val="nil"/>
            </w:tcBorders>
            <w:shd w:val="clear" w:color="auto" w:fill="auto"/>
            <w:noWrap/>
            <w:vAlign w:val="center"/>
          </w:tcPr>
          <w:p w14:paraId="2CE1F2B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1.2.4</w:t>
            </w:r>
          </w:p>
        </w:tc>
        <w:tc>
          <w:tcPr>
            <w:tcW w:w="3779" w:type="dxa"/>
            <w:tcBorders>
              <w:tl2br w:val="nil"/>
              <w:tr2bl w:val="nil"/>
            </w:tcBorders>
            <w:shd w:val="clear" w:color="auto" w:fill="auto"/>
            <w:vAlign w:val="center"/>
          </w:tcPr>
          <w:p w14:paraId="39E6A37C">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6cm厚中粒式改性沥青混合料（AC-20）</w:t>
            </w:r>
          </w:p>
        </w:tc>
        <w:tc>
          <w:tcPr>
            <w:tcW w:w="901" w:type="dxa"/>
            <w:tcBorders>
              <w:tl2br w:val="nil"/>
              <w:tr2bl w:val="nil"/>
            </w:tcBorders>
            <w:shd w:val="clear" w:color="auto" w:fill="auto"/>
            <w:vAlign w:val="center"/>
          </w:tcPr>
          <w:p w14:paraId="75E0C8C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7F7EAC7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4212.07</w:t>
            </w:r>
          </w:p>
        </w:tc>
        <w:tc>
          <w:tcPr>
            <w:tcW w:w="2689" w:type="dxa"/>
            <w:tcBorders>
              <w:tl2br w:val="nil"/>
              <w:tr2bl w:val="nil"/>
            </w:tcBorders>
            <w:shd w:val="clear" w:color="auto" w:fill="auto"/>
            <w:vAlign w:val="center"/>
          </w:tcPr>
          <w:p w14:paraId="2BA9FB18">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55006B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5" w:hRule="atLeast"/>
          <w:jc w:val="center"/>
        </w:trPr>
        <w:tc>
          <w:tcPr>
            <w:tcW w:w="1108" w:type="dxa"/>
            <w:tcBorders>
              <w:tl2br w:val="nil"/>
              <w:tr2bl w:val="nil"/>
            </w:tcBorders>
            <w:shd w:val="clear" w:color="auto" w:fill="auto"/>
            <w:noWrap/>
            <w:vAlign w:val="center"/>
          </w:tcPr>
          <w:p w14:paraId="089E95F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1.2.5</w:t>
            </w:r>
          </w:p>
        </w:tc>
        <w:tc>
          <w:tcPr>
            <w:tcW w:w="3779" w:type="dxa"/>
            <w:tcBorders>
              <w:tl2br w:val="nil"/>
              <w:tr2bl w:val="nil"/>
            </w:tcBorders>
            <w:shd w:val="clear" w:color="auto" w:fill="auto"/>
            <w:vAlign w:val="center"/>
          </w:tcPr>
          <w:p w14:paraId="79172750">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0.4-0.6kg/m2改性乳化沥青粘层</w:t>
            </w:r>
          </w:p>
        </w:tc>
        <w:tc>
          <w:tcPr>
            <w:tcW w:w="901" w:type="dxa"/>
            <w:tcBorders>
              <w:tl2br w:val="nil"/>
              <w:tr2bl w:val="nil"/>
            </w:tcBorders>
            <w:shd w:val="clear" w:color="auto" w:fill="auto"/>
            <w:vAlign w:val="center"/>
          </w:tcPr>
          <w:p w14:paraId="5C8A472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054D054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4212.07</w:t>
            </w:r>
          </w:p>
        </w:tc>
        <w:tc>
          <w:tcPr>
            <w:tcW w:w="2689" w:type="dxa"/>
            <w:tcBorders>
              <w:tl2br w:val="nil"/>
              <w:tr2bl w:val="nil"/>
            </w:tcBorders>
            <w:shd w:val="clear" w:color="auto" w:fill="auto"/>
            <w:vAlign w:val="center"/>
          </w:tcPr>
          <w:p w14:paraId="43A44669">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08696E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1108" w:type="dxa"/>
            <w:tcBorders>
              <w:tl2br w:val="nil"/>
              <w:tr2bl w:val="nil"/>
            </w:tcBorders>
            <w:shd w:val="clear" w:color="auto" w:fill="auto"/>
            <w:noWrap/>
            <w:vAlign w:val="center"/>
          </w:tcPr>
          <w:p w14:paraId="446DADD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1.2.6</w:t>
            </w:r>
          </w:p>
        </w:tc>
        <w:tc>
          <w:tcPr>
            <w:tcW w:w="3779" w:type="dxa"/>
            <w:tcBorders>
              <w:tl2br w:val="nil"/>
              <w:tr2bl w:val="nil"/>
            </w:tcBorders>
            <w:shd w:val="clear" w:color="auto" w:fill="auto"/>
            <w:vAlign w:val="center"/>
          </w:tcPr>
          <w:p w14:paraId="6180E3BF">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8cm厚AC-25粗粒式沥青混合料</w:t>
            </w:r>
          </w:p>
        </w:tc>
        <w:tc>
          <w:tcPr>
            <w:tcW w:w="901" w:type="dxa"/>
            <w:tcBorders>
              <w:tl2br w:val="nil"/>
              <w:tr2bl w:val="nil"/>
            </w:tcBorders>
            <w:shd w:val="clear" w:color="auto" w:fill="auto"/>
            <w:vAlign w:val="center"/>
          </w:tcPr>
          <w:p w14:paraId="293B7D4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65E4C62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3835.89</w:t>
            </w:r>
          </w:p>
        </w:tc>
        <w:tc>
          <w:tcPr>
            <w:tcW w:w="2689" w:type="dxa"/>
            <w:tcBorders>
              <w:tl2br w:val="nil"/>
              <w:tr2bl w:val="nil"/>
            </w:tcBorders>
            <w:shd w:val="clear" w:color="auto" w:fill="auto"/>
            <w:vAlign w:val="center"/>
          </w:tcPr>
          <w:p w14:paraId="3654FB09">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4FD552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1108" w:type="dxa"/>
            <w:tcBorders>
              <w:tl2br w:val="nil"/>
              <w:tr2bl w:val="nil"/>
            </w:tcBorders>
            <w:shd w:val="clear" w:color="auto" w:fill="auto"/>
            <w:noWrap/>
            <w:vAlign w:val="center"/>
          </w:tcPr>
          <w:p w14:paraId="087238C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1.2.7</w:t>
            </w:r>
          </w:p>
        </w:tc>
        <w:tc>
          <w:tcPr>
            <w:tcW w:w="3779" w:type="dxa"/>
            <w:tcBorders>
              <w:tl2br w:val="nil"/>
              <w:tr2bl w:val="nil"/>
            </w:tcBorders>
            <w:shd w:val="clear" w:color="auto" w:fill="auto"/>
            <w:vAlign w:val="center"/>
          </w:tcPr>
          <w:p w14:paraId="54FA9987">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0.7cm厚稀浆封层</w:t>
            </w:r>
          </w:p>
        </w:tc>
        <w:tc>
          <w:tcPr>
            <w:tcW w:w="901" w:type="dxa"/>
            <w:tcBorders>
              <w:tl2br w:val="nil"/>
              <w:tr2bl w:val="nil"/>
            </w:tcBorders>
            <w:shd w:val="clear" w:color="auto" w:fill="auto"/>
            <w:vAlign w:val="center"/>
          </w:tcPr>
          <w:p w14:paraId="3B1BD46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4A4C792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3835.89</w:t>
            </w:r>
          </w:p>
        </w:tc>
        <w:tc>
          <w:tcPr>
            <w:tcW w:w="2689" w:type="dxa"/>
            <w:tcBorders>
              <w:tl2br w:val="nil"/>
              <w:tr2bl w:val="nil"/>
            </w:tcBorders>
            <w:shd w:val="clear" w:color="auto" w:fill="auto"/>
            <w:vAlign w:val="center"/>
          </w:tcPr>
          <w:p w14:paraId="39FC9A37">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3DC5A9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1108" w:type="dxa"/>
            <w:tcBorders>
              <w:tl2br w:val="nil"/>
              <w:tr2bl w:val="nil"/>
            </w:tcBorders>
            <w:shd w:val="clear" w:color="auto" w:fill="auto"/>
            <w:noWrap/>
            <w:vAlign w:val="center"/>
          </w:tcPr>
          <w:p w14:paraId="100F6D3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1.2.8</w:t>
            </w:r>
          </w:p>
        </w:tc>
        <w:tc>
          <w:tcPr>
            <w:tcW w:w="3779" w:type="dxa"/>
            <w:tcBorders>
              <w:tl2br w:val="nil"/>
              <w:tr2bl w:val="nil"/>
            </w:tcBorders>
            <w:shd w:val="clear" w:color="auto" w:fill="auto"/>
            <w:vAlign w:val="center"/>
          </w:tcPr>
          <w:p w14:paraId="639CF444">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20cm厚C30砼基层</w:t>
            </w:r>
          </w:p>
        </w:tc>
        <w:tc>
          <w:tcPr>
            <w:tcW w:w="901" w:type="dxa"/>
            <w:tcBorders>
              <w:tl2br w:val="nil"/>
              <w:tr2bl w:val="nil"/>
            </w:tcBorders>
            <w:shd w:val="clear" w:color="auto" w:fill="auto"/>
            <w:vAlign w:val="center"/>
          </w:tcPr>
          <w:p w14:paraId="7FF24CC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4EFFF34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3459.70</w:t>
            </w:r>
          </w:p>
        </w:tc>
        <w:tc>
          <w:tcPr>
            <w:tcW w:w="2689" w:type="dxa"/>
            <w:tcBorders>
              <w:tl2br w:val="nil"/>
              <w:tr2bl w:val="nil"/>
            </w:tcBorders>
            <w:shd w:val="clear" w:color="auto" w:fill="auto"/>
            <w:vAlign w:val="center"/>
          </w:tcPr>
          <w:p w14:paraId="1B6D23EF">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749916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1108" w:type="dxa"/>
            <w:tcBorders>
              <w:tl2br w:val="nil"/>
              <w:tr2bl w:val="nil"/>
            </w:tcBorders>
            <w:shd w:val="clear" w:color="auto" w:fill="auto"/>
            <w:noWrap/>
            <w:vAlign w:val="center"/>
          </w:tcPr>
          <w:p w14:paraId="6C40F55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1.3</w:t>
            </w:r>
          </w:p>
        </w:tc>
        <w:tc>
          <w:tcPr>
            <w:tcW w:w="3779" w:type="dxa"/>
            <w:tcBorders>
              <w:tl2br w:val="nil"/>
              <w:tr2bl w:val="nil"/>
            </w:tcBorders>
            <w:shd w:val="clear" w:color="auto" w:fill="auto"/>
            <w:vAlign w:val="center"/>
          </w:tcPr>
          <w:p w14:paraId="7FE3FCFB">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自粘性抗裂贴（50cm宽）</w:t>
            </w:r>
          </w:p>
        </w:tc>
        <w:tc>
          <w:tcPr>
            <w:tcW w:w="901" w:type="dxa"/>
            <w:tcBorders>
              <w:tl2br w:val="nil"/>
              <w:tr2bl w:val="nil"/>
            </w:tcBorders>
            <w:shd w:val="clear" w:color="auto" w:fill="auto"/>
            <w:vAlign w:val="center"/>
          </w:tcPr>
          <w:p w14:paraId="3B27154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m</w:t>
            </w:r>
          </w:p>
        </w:tc>
        <w:tc>
          <w:tcPr>
            <w:tcW w:w="1563" w:type="dxa"/>
            <w:tcBorders>
              <w:tl2br w:val="nil"/>
              <w:tr2bl w:val="nil"/>
            </w:tcBorders>
            <w:shd w:val="clear" w:color="auto" w:fill="auto"/>
            <w:vAlign w:val="center"/>
          </w:tcPr>
          <w:p w14:paraId="58765A5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9718.08</w:t>
            </w:r>
          </w:p>
        </w:tc>
        <w:tc>
          <w:tcPr>
            <w:tcW w:w="2689" w:type="dxa"/>
            <w:tcBorders>
              <w:tl2br w:val="nil"/>
              <w:tr2bl w:val="nil"/>
            </w:tcBorders>
            <w:shd w:val="clear" w:color="auto" w:fill="auto"/>
            <w:vAlign w:val="center"/>
          </w:tcPr>
          <w:p w14:paraId="4E69EA94">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1A03E2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2" w:hRule="atLeast"/>
          <w:jc w:val="center"/>
        </w:trPr>
        <w:tc>
          <w:tcPr>
            <w:tcW w:w="1108" w:type="dxa"/>
            <w:tcBorders>
              <w:tl2br w:val="nil"/>
              <w:tr2bl w:val="nil"/>
            </w:tcBorders>
            <w:shd w:val="clear" w:color="auto" w:fill="auto"/>
            <w:noWrap/>
            <w:vAlign w:val="center"/>
          </w:tcPr>
          <w:p w14:paraId="43B5870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1.4</w:t>
            </w:r>
          </w:p>
        </w:tc>
        <w:tc>
          <w:tcPr>
            <w:tcW w:w="3779" w:type="dxa"/>
            <w:tcBorders>
              <w:tl2br w:val="nil"/>
              <w:tr2bl w:val="nil"/>
            </w:tcBorders>
            <w:shd w:val="clear" w:color="auto" w:fill="auto"/>
            <w:vAlign w:val="center"/>
          </w:tcPr>
          <w:p w14:paraId="32397F8F">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钢筋</w:t>
            </w:r>
          </w:p>
        </w:tc>
        <w:tc>
          <w:tcPr>
            <w:tcW w:w="901" w:type="dxa"/>
            <w:tcBorders>
              <w:tl2br w:val="nil"/>
              <w:tr2bl w:val="nil"/>
            </w:tcBorders>
            <w:shd w:val="clear" w:color="auto" w:fill="auto"/>
            <w:vAlign w:val="center"/>
          </w:tcPr>
          <w:p w14:paraId="2C728F3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kg</w:t>
            </w:r>
          </w:p>
        </w:tc>
        <w:tc>
          <w:tcPr>
            <w:tcW w:w="1563" w:type="dxa"/>
            <w:tcBorders>
              <w:tl2br w:val="nil"/>
              <w:tr2bl w:val="nil"/>
            </w:tcBorders>
            <w:shd w:val="clear" w:color="auto" w:fill="auto"/>
            <w:vAlign w:val="center"/>
          </w:tcPr>
          <w:p w14:paraId="4FE20D7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1093.28</w:t>
            </w:r>
          </w:p>
        </w:tc>
        <w:tc>
          <w:tcPr>
            <w:tcW w:w="2689" w:type="dxa"/>
            <w:tcBorders>
              <w:tl2br w:val="nil"/>
              <w:tr2bl w:val="nil"/>
            </w:tcBorders>
            <w:shd w:val="clear" w:color="auto" w:fill="auto"/>
            <w:vAlign w:val="center"/>
          </w:tcPr>
          <w:p w14:paraId="6BD4D594">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0014BC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2" w:hRule="atLeast"/>
          <w:jc w:val="center"/>
        </w:trPr>
        <w:tc>
          <w:tcPr>
            <w:tcW w:w="1108" w:type="dxa"/>
            <w:tcBorders>
              <w:tl2br w:val="nil"/>
              <w:tr2bl w:val="nil"/>
            </w:tcBorders>
            <w:shd w:val="clear" w:color="auto" w:fill="auto"/>
            <w:noWrap/>
            <w:vAlign w:val="center"/>
          </w:tcPr>
          <w:p w14:paraId="12E4623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1.5</w:t>
            </w:r>
          </w:p>
        </w:tc>
        <w:tc>
          <w:tcPr>
            <w:tcW w:w="3779" w:type="dxa"/>
            <w:tcBorders>
              <w:tl2br w:val="nil"/>
              <w:tr2bl w:val="nil"/>
            </w:tcBorders>
            <w:shd w:val="clear" w:color="auto" w:fill="auto"/>
            <w:vAlign w:val="center"/>
          </w:tcPr>
          <w:p w14:paraId="1A714310">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热熔标线</w:t>
            </w:r>
          </w:p>
        </w:tc>
        <w:tc>
          <w:tcPr>
            <w:tcW w:w="901" w:type="dxa"/>
            <w:tcBorders>
              <w:tl2br w:val="nil"/>
              <w:tr2bl w:val="nil"/>
            </w:tcBorders>
            <w:shd w:val="clear" w:color="auto" w:fill="auto"/>
            <w:vAlign w:val="center"/>
          </w:tcPr>
          <w:p w14:paraId="3AB95AA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398EEF3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329.25</w:t>
            </w:r>
          </w:p>
        </w:tc>
        <w:tc>
          <w:tcPr>
            <w:tcW w:w="2689" w:type="dxa"/>
            <w:tcBorders>
              <w:tl2br w:val="nil"/>
              <w:tr2bl w:val="nil"/>
            </w:tcBorders>
            <w:shd w:val="clear" w:color="auto" w:fill="auto"/>
            <w:vAlign w:val="center"/>
          </w:tcPr>
          <w:p w14:paraId="152354E9">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1C6795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1108" w:type="dxa"/>
            <w:tcBorders>
              <w:tl2br w:val="nil"/>
              <w:tr2bl w:val="nil"/>
            </w:tcBorders>
            <w:shd w:val="clear" w:color="auto" w:fill="auto"/>
            <w:noWrap/>
            <w:vAlign w:val="center"/>
          </w:tcPr>
          <w:p w14:paraId="4FFE3E5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1.6</w:t>
            </w:r>
          </w:p>
        </w:tc>
        <w:tc>
          <w:tcPr>
            <w:tcW w:w="3779" w:type="dxa"/>
            <w:tcBorders>
              <w:tl2br w:val="nil"/>
              <w:tr2bl w:val="nil"/>
            </w:tcBorders>
            <w:shd w:val="clear" w:color="auto" w:fill="auto"/>
            <w:noWrap/>
            <w:vAlign w:val="center"/>
          </w:tcPr>
          <w:p w14:paraId="215C3D77">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弃方</w:t>
            </w:r>
          </w:p>
        </w:tc>
        <w:tc>
          <w:tcPr>
            <w:tcW w:w="901" w:type="dxa"/>
            <w:tcBorders>
              <w:tl2br w:val="nil"/>
              <w:tr2bl w:val="nil"/>
            </w:tcBorders>
            <w:shd w:val="clear" w:color="auto" w:fill="auto"/>
            <w:noWrap/>
            <w:vAlign w:val="center"/>
          </w:tcPr>
          <w:p w14:paraId="3AFF04B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m³</w:t>
            </w:r>
          </w:p>
        </w:tc>
        <w:tc>
          <w:tcPr>
            <w:tcW w:w="1563" w:type="dxa"/>
            <w:tcBorders>
              <w:tl2br w:val="nil"/>
              <w:tr2bl w:val="nil"/>
            </w:tcBorders>
            <w:shd w:val="clear" w:color="auto" w:fill="auto"/>
            <w:noWrap/>
            <w:vAlign w:val="center"/>
          </w:tcPr>
          <w:p w14:paraId="2B2AB24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4065.92</w:t>
            </w:r>
          </w:p>
        </w:tc>
        <w:tc>
          <w:tcPr>
            <w:tcW w:w="2689" w:type="dxa"/>
            <w:tcBorders>
              <w:tl2br w:val="nil"/>
              <w:tr2bl w:val="nil"/>
            </w:tcBorders>
            <w:shd w:val="clear" w:color="auto" w:fill="auto"/>
            <w:noWrap/>
            <w:vAlign w:val="center"/>
          </w:tcPr>
          <w:p w14:paraId="3C8181A2">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外弃10Km</w:t>
            </w:r>
          </w:p>
        </w:tc>
      </w:tr>
      <w:tr w14:paraId="6152DA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2" w:hRule="atLeast"/>
          <w:jc w:val="center"/>
        </w:trPr>
        <w:tc>
          <w:tcPr>
            <w:tcW w:w="1108" w:type="dxa"/>
            <w:tcBorders>
              <w:tl2br w:val="nil"/>
              <w:tr2bl w:val="nil"/>
            </w:tcBorders>
            <w:shd w:val="clear" w:color="auto" w:fill="auto"/>
            <w:noWrap/>
            <w:vAlign w:val="center"/>
          </w:tcPr>
          <w:p w14:paraId="539523E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二</w:t>
            </w:r>
          </w:p>
        </w:tc>
        <w:tc>
          <w:tcPr>
            <w:tcW w:w="3779" w:type="dxa"/>
            <w:tcBorders>
              <w:tl2br w:val="nil"/>
              <w:tr2bl w:val="nil"/>
            </w:tcBorders>
            <w:shd w:val="clear" w:color="auto" w:fill="auto"/>
            <w:noWrap/>
            <w:vAlign w:val="center"/>
          </w:tcPr>
          <w:p w14:paraId="5FD7AA06">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人行道及树池修复</w:t>
            </w:r>
          </w:p>
        </w:tc>
        <w:tc>
          <w:tcPr>
            <w:tcW w:w="901" w:type="dxa"/>
            <w:tcBorders>
              <w:tl2br w:val="nil"/>
              <w:tr2bl w:val="nil"/>
            </w:tcBorders>
            <w:shd w:val="clear" w:color="auto" w:fill="auto"/>
            <w:noWrap/>
            <w:vAlign w:val="center"/>
          </w:tcPr>
          <w:p w14:paraId="57174D3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p>
        </w:tc>
        <w:tc>
          <w:tcPr>
            <w:tcW w:w="1563" w:type="dxa"/>
            <w:tcBorders>
              <w:tl2br w:val="nil"/>
              <w:tr2bl w:val="nil"/>
            </w:tcBorders>
            <w:shd w:val="clear" w:color="auto" w:fill="auto"/>
            <w:noWrap/>
            <w:vAlign w:val="center"/>
          </w:tcPr>
          <w:p w14:paraId="5D39356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p>
        </w:tc>
        <w:tc>
          <w:tcPr>
            <w:tcW w:w="2689" w:type="dxa"/>
            <w:tcBorders>
              <w:tl2br w:val="nil"/>
              <w:tr2bl w:val="nil"/>
            </w:tcBorders>
            <w:shd w:val="clear" w:color="auto" w:fill="auto"/>
            <w:noWrap/>
            <w:vAlign w:val="center"/>
          </w:tcPr>
          <w:p w14:paraId="4532F510">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40DD48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2" w:hRule="atLeast"/>
          <w:jc w:val="center"/>
        </w:trPr>
        <w:tc>
          <w:tcPr>
            <w:tcW w:w="1108" w:type="dxa"/>
            <w:tcBorders>
              <w:tl2br w:val="nil"/>
              <w:tr2bl w:val="nil"/>
            </w:tcBorders>
            <w:shd w:val="clear" w:color="auto" w:fill="auto"/>
            <w:noWrap/>
            <w:vAlign w:val="center"/>
          </w:tcPr>
          <w:p w14:paraId="1E4C211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2.1</w:t>
            </w:r>
          </w:p>
        </w:tc>
        <w:tc>
          <w:tcPr>
            <w:tcW w:w="3779" w:type="dxa"/>
            <w:tcBorders>
              <w:tl2br w:val="nil"/>
              <w:tr2bl w:val="nil"/>
            </w:tcBorders>
            <w:shd w:val="clear" w:color="auto" w:fill="auto"/>
            <w:vAlign w:val="center"/>
          </w:tcPr>
          <w:p w14:paraId="2E1DBAB0">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现状人行道拆除</w:t>
            </w:r>
          </w:p>
        </w:tc>
        <w:tc>
          <w:tcPr>
            <w:tcW w:w="901" w:type="dxa"/>
            <w:tcBorders>
              <w:tl2br w:val="nil"/>
              <w:tr2bl w:val="nil"/>
            </w:tcBorders>
            <w:shd w:val="clear" w:color="auto" w:fill="auto"/>
            <w:vAlign w:val="center"/>
          </w:tcPr>
          <w:p w14:paraId="475EA32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384313A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821.00</w:t>
            </w:r>
          </w:p>
        </w:tc>
        <w:tc>
          <w:tcPr>
            <w:tcW w:w="2689" w:type="dxa"/>
            <w:tcBorders>
              <w:tl2br w:val="nil"/>
              <w:tr2bl w:val="nil"/>
            </w:tcBorders>
            <w:shd w:val="clear" w:color="auto" w:fill="auto"/>
            <w:vAlign w:val="center"/>
          </w:tcPr>
          <w:p w14:paraId="240E3338">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外弃10Km</w:t>
            </w:r>
          </w:p>
        </w:tc>
      </w:tr>
      <w:tr w14:paraId="12721D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2" w:hRule="atLeast"/>
          <w:jc w:val="center"/>
        </w:trPr>
        <w:tc>
          <w:tcPr>
            <w:tcW w:w="1108" w:type="dxa"/>
            <w:tcBorders>
              <w:tl2br w:val="nil"/>
              <w:tr2bl w:val="nil"/>
            </w:tcBorders>
            <w:shd w:val="clear" w:color="auto" w:fill="auto"/>
            <w:noWrap/>
            <w:vAlign w:val="center"/>
          </w:tcPr>
          <w:p w14:paraId="4D6B9B3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2.2</w:t>
            </w:r>
          </w:p>
        </w:tc>
        <w:tc>
          <w:tcPr>
            <w:tcW w:w="3779" w:type="dxa"/>
            <w:tcBorders>
              <w:tl2br w:val="nil"/>
              <w:tr2bl w:val="nil"/>
            </w:tcBorders>
            <w:shd w:val="clear" w:color="auto" w:fill="auto"/>
            <w:vAlign w:val="center"/>
          </w:tcPr>
          <w:p w14:paraId="25EE283F">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20×10×6cm灰色透水砖</w:t>
            </w:r>
          </w:p>
        </w:tc>
        <w:tc>
          <w:tcPr>
            <w:tcW w:w="901" w:type="dxa"/>
            <w:tcBorders>
              <w:tl2br w:val="nil"/>
              <w:tr2bl w:val="nil"/>
            </w:tcBorders>
            <w:shd w:val="clear" w:color="auto" w:fill="auto"/>
            <w:vAlign w:val="center"/>
          </w:tcPr>
          <w:p w14:paraId="35EEC74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noWrap/>
            <w:vAlign w:val="center"/>
          </w:tcPr>
          <w:p w14:paraId="0997B37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821.00</w:t>
            </w:r>
          </w:p>
        </w:tc>
        <w:tc>
          <w:tcPr>
            <w:tcW w:w="2689" w:type="dxa"/>
            <w:tcBorders>
              <w:tl2br w:val="nil"/>
              <w:tr2bl w:val="nil"/>
            </w:tcBorders>
            <w:shd w:val="clear" w:color="auto" w:fill="auto"/>
            <w:noWrap/>
            <w:vAlign w:val="center"/>
          </w:tcPr>
          <w:p w14:paraId="50497A78">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1DED18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2" w:hRule="atLeast"/>
          <w:jc w:val="center"/>
        </w:trPr>
        <w:tc>
          <w:tcPr>
            <w:tcW w:w="1108" w:type="dxa"/>
            <w:tcBorders>
              <w:tl2br w:val="nil"/>
              <w:tr2bl w:val="nil"/>
            </w:tcBorders>
            <w:shd w:val="clear" w:color="auto" w:fill="auto"/>
            <w:noWrap/>
            <w:vAlign w:val="center"/>
          </w:tcPr>
          <w:p w14:paraId="4EB20DA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2.3</w:t>
            </w:r>
          </w:p>
        </w:tc>
        <w:tc>
          <w:tcPr>
            <w:tcW w:w="3779" w:type="dxa"/>
            <w:tcBorders>
              <w:tl2br w:val="nil"/>
              <w:tr2bl w:val="nil"/>
            </w:tcBorders>
            <w:shd w:val="clear" w:color="auto" w:fill="auto"/>
            <w:vAlign w:val="center"/>
          </w:tcPr>
          <w:p w14:paraId="37972F8D">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3cm厚1：3水泥砂浆</w:t>
            </w:r>
          </w:p>
        </w:tc>
        <w:tc>
          <w:tcPr>
            <w:tcW w:w="901" w:type="dxa"/>
            <w:tcBorders>
              <w:tl2br w:val="nil"/>
              <w:tr2bl w:val="nil"/>
            </w:tcBorders>
            <w:shd w:val="clear" w:color="auto" w:fill="auto"/>
            <w:vAlign w:val="center"/>
          </w:tcPr>
          <w:p w14:paraId="26B5094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noWrap/>
            <w:vAlign w:val="center"/>
          </w:tcPr>
          <w:p w14:paraId="210F316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821.00</w:t>
            </w:r>
          </w:p>
        </w:tc>
        <w:tc>
          <w:tcPr>
            <w:tcW w:w="2689" w:type="dxa"/>
            <w:tcBorders>
              <w:tl2br w:val="nil"/>
              <w:tr2bl w:val="nil"/>
            </w:tcBorders>
            <w:shd w:val="clear" w:color="auto" w:fill="auto"/>
            <w:noWrap/>
            <w:vAlign w:val="center"/>
          </w:tcPr>
          <w:p w14:paraId="7A6363E0">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2815E5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89" w:hRule="atLeast"/>
          <w:jc w:val="center"/>
        </w:trPr>
        <w:tc>
          <w:tcPr>
            <w:tcW w:w="1108" w:type="dxa"/>
            <w:tcBorders>
              <w:tl2br w:val="nil"/>
              <w:tr2bl w:val="nil"/>
            </w:tcBorders>
            <w:shd w:val="clear" w:color="auto" w:fill="auto"/>
            <w:noWrap/>
            <w:vAlign w:val="center"/>
          </w:tcPr>
          <w:p w14:paraId="24F1144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2.4</w:t>
            </w:r>
          </w:p>
        </w:tc>
        <w:tc>
          <w:tcPr>
            <w:tcW w:w="3779" w:type="dxa"/>
            <w:tcBorders>
              <w:tl2br w:val="nil"/>
              <w:tr2bl w:val="nil"/>
            </w:tcBorders>
            <w:shd w:val="clear" w:color="auto" w:fill="auto"/>
            <w:vAlign w:val="center"/>
          </w:tcPr>
          <w:p w14:paraId="0932BFCD">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15cm厚的4%水泥稳定级配碎石基层</w:t>
            </w:r>
          </w:p>
        </w:tc>
        <w:tc>
          <w:tcPr>
            <w:tcW w:w="901" w:type="dxa"/>
            <w:tcBorders>
              <w:tl2br w:val="nil"/>
              <w:tr2bl w:val="nil"/>
            </w:tcBorders>
            <w:shd w:val="clear" w:color="auto" w:fill="auto"/>
            <w:vAlign w:val="center"/>
          </w:tcPr>
          <w:p w14:paraId="05B2674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noWrap/>
            <w:vAlign w:val="center"/>
          </w:tcPr>
          <w:p w14:paraId="24484A8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821.00</w:t>
            </w:r>
          </w:p>
        </w:tc>
        <w:tc>
          <w:tcPr>
            <w:tcW w:w="2689" w:type="dxa"/>
            <w:tcBorders>
              <w:tl2br w:val="nil"/>
              <w:tr2bl w:val="nil"/>
            </w:tcBorders>
            <w:shd w:val="clear" w:color="auto" w:fill="auto"/>
            <w:noWrap/>
            <w:vAlign w:val="center"/>
          </w:tcPr>
          <w:p w14:paraId="70B2DE38">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29014C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89" w:hRule="atLeast"/>
          <w:jc w:val="center"/>
        </w:trPr>
        <w:tc>
          <w:tcPr>
            <w:tcW w:w="1108" w:type="dxa"/>
            <w:tcBorders>
              <w:tl2br w:val="nil"/>
              <w:tr2bl w:val="nil"/>
            </w:tcBorders>
            <w:shd w:val="clear" w:color="auto" w:fill="auto"/>
            <w:noWrap/>
            <w:vAlign w:val="center"/>
          </w:tcPr>
          <w:p w14:paraId="600B10E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2.5</w:t>
            </w:r>
          </w:p>
        </w:tc>
        <w:tc>
          <w:tcPr>
            <w:tcW w:w="3779" w:type="dxa"/>
            <w:tcBorders>
              <w:tl2br w:val="nil"/>
              <w:tr2bl w:val="nil"/>
            </w:tcBorders>
            <w:shd w:val="clear" w:color="auto" w:fill="auto"/>
            <w:vAlign w:val="center"/>
          </w:tcPr>
          <w:p w14:paraId="760E1028">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更新替换中央分隔带路缘石68.7cm×20cm×100cm</w:t>
            </w:r>
          </w:p>
        </w:tc>
        <w:tc>
          <w:tcPr>
            <w:tcW w:w="901" w:type="dxa"/>
            <w:tcBorders>
              <w:tl2br w:val="nil"/>
              <w:tr2bl w:val="nil"/>
            </w:tcBorders>
            <w:shd w:val="clear" w:color="auto" w:fill="auto"/>
            <w:noWrap/>
            <w:vAlign w:val="center"/>
          </w:tcPr>
          <w:p w14:paraId="238B13F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m</w:t>
            </w:r>
          </w:p>
        </w:tc>
        <w:tc>
          <w:tcPr>
            <w:tcW w:w="1563" w:type="dxa"/>
            <w:tcBorders>
              <w:tl2br w:val="nil"/>
              <w:tr2bl w:val="nil"/>
            </w:tcBorders>
            <w:shd w:val="clear" w:color="auto" w:fill="auto"/>
            <w:noWrap/>
            <w:vAlign w:val="center"/>
          </w:tcPr>
          <w:p w14:paraId="32D812D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358.90</w:t>
            </w:r>
          </w:p>
        </w:tc>
        <w:tc>
          <w:tcPr>
            <w:tcW w:w="2689" w:type="dxa"/>
            <w:tcBorders>
              <w:tl2br w:val="nil"/>
              <w:tr2bl w:val="nil"/>
            </w:tcBorders>
            <w:shd w:val="clear" w:color="auto" w:fill="auto"/>
            <w:noWrap/>
            <w:vAlign w:val="center"/>
          </w:tcPr>
          <w:p w14:paraId="39A290F2">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外弃10Km</w:t>
            </w:r>
          </w:p>
        </w:tc>
      </w:tr>
      <w:tr w14:paraId="0F50D1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89" w:hRule="atLeast"/>
          <w:jc w:val="center"/>
        </w:trPr>
        <w:tc>
          <w:tcPr>
            <w:tcW w:w="1108" w:type="dxa"/>
            <w:tcBorders>
              <w:tl2br w:val="nil"/>
              <w:tr2bl w:val="nil"/>
            </w:tcBorders>
            <w:shd w:val="clear" w:color="auto" w:fill="auto"/>
            <w:noWrap/>
            <w:vAlign w:val="center"/>
          </w:tcPr>
          <w:p w14:paraId="5D16FF0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2.6</w:t>
            </w:r>
          </w:p>
        </w:tc>
        <w:tc>
          <w:tcPr>
            <w:tcW w:w="3779" w:type="dxa"/>
            <w:tcBorders>
              <w:tl2br w:val="nil"/>
              <w:tr2bl w:val="nil"/>
            </w:tcBorders>
            <w:shd w:val="clear" w:color="auto" w:fill="auto"/>
            <w:vAlign w:val="center"/>
          </w:tcPr>
          <w:p w14:paraId="6097024A">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更新替换路缘石58.7cm×20cm×100cm</w:t>
            </w:r>
          </w:p>
        </w:tc>
        <w:tc>
          <w:tcPr>
            <w:tcW w:w="901" w:type="dxa"/>
            <w:tcBorders>
              <w:tl2br w:val="nil"/>
              <w:tr2bl w:val="nil"/>
            </w:tcBorders>
            <w:shd w:val="clear" w:color="auto" w:fill="auto"/>
            <w:noWrap/>
            <w:vAlign w:val="center"/>
          </w:tcPr>
          <w:p w14:paraId="7638887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m</w:t>
            </w:r>
          </w:p>
        </w:tc>
        <w:tc>
          <w:tcPr>
            <w:tcW w:w="1563" w:type="dxa"/>
            <w:tcBorders>
              <w:tl2br w:val="nil"/>
              <w:tr2bl w:val="nil"/>
            </w:tcBorders>
            <w:shd w:val="clear" w:color="auto" w:fill="auto"/>
            <w:noWrap/>
            <w:vAlign w:val="center"/>
          </w:tcPr>
          <w:p w14:paraId="253292E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292.81</w:t>
            </w:r>
          </w:p>
        </w:tc>
        <w:tc>
          <w:tcPr>
            <w:tcW w:w="2689" w:type="dxa"/>
            <w:tcBorders>
              <w:tl2br w:val="nil"/>
              <w:tr2bl w:val="nil"/>
            </w:tcBorders>
            <w:shd w:val="clear" w:color="auto" w:fill="auto"/>
            <w:noWrap/>
            <w:vAlign w:val="center"/>
          </w:tcPr>
          <w:p w14:paraId="392A5033">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外弃10Km</w:t>
            </w:r>
          </w:p>
        </w:tc>
      </w:tr>
      <w:tr w14:paraId="5D9C2E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89" w:hRule="atLeast"/>
          <w:jc w:val="center"/>
        </w:trPr>
        <w:tc>
          <w:tcPr>
            <w:tcW w:w="1108" w:type="dxa"/>
            <w:tcBorders>
              <w:tl2br w:val="nil"/>
              <w:tr2bl w:val="nil"/>
            </w:tcBorders>
            <w:shd w:val="clear" w:color="auto" w:fill="auto"/>
            <w:noWrap/>
            <w:vAlign w:val="center"/>
          </w:tcPr>
          <w:p w14:paraId="6CB7E94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2.7</w:t>
            </w:r>
          </w:p>
        </w:tc>
        <w:tc>
          <w:tcPr>
            <w:tcW w:w="3779" w:type="dxa"/>
            <w:tcBorders>
              <w:tl2br w:val="nil"/>
              <w:tr2bl w:val="nil"/>
            </w:tcBorders>
            <w:shd w:val="clear" w:color="auto" w:fill="auto"/>
            <w:vAlign w:val="center"/>
          </w:tcPr>
          <w:p w14:paraId="2DC93340">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更新替换路边石C25混凝土20cm×15cm×100cm</w:t>
            </w:r>
          </w:p>
        </w:tc>
        <w:tc>
          <w:tcPr>
            <w:tcW w:w="901" w:type="dxa"/>
            <w:tcBorders>
              <w:tl2br w:val="nil"/>
              <w:tr2bl w:val="nil"/>
            </w:tcBorders>
            <w:shd w:val="clear" w:color="auto" w:fill="auto"/>
            <w:noWrap/>
            <w:vAlign w:val="center"/>
          </w:tcPr>
          <w:p w14:paraId="594CE4E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m</w:t>
            </w:r>
          </w:p>
        </w:tc>
        <w:tc>
          <w:tcPr>
            <w:tcW w:w="1563" w:type="dxa"/>
            <w:tcBorders>
              <w:tl2br w:val="nil"/>
              <w:tr2bl w:val="nil"/>
            </w:tcBorders>
            <w:shd w:val="clear" w:color="auto" w:fill="auto"/>
            <w:noWrap/>
            <w:vAlign w:val="center"/>
          </w:tcPr>
          <w:p w14:paraId="64A85DF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379.83</w:t>
            </w:r>
          </w:p>
        </w:tc>
        <w:tc>
          <w:tcPr>
            <w:tcW w:w="2689" w:type="dxa"/>
            <w:tcBorders>
              <w:tl2br w:val="nil"/>
              <w:tr2bl w:val="nil"/>
            </w:tcBorders>
            <w:shd w:val="clear" w:color="auto" w:fill="auto"/>
            <w:noWrap/>
            <w:vAlign w:val="center"/>
          </w:tcPr>
          <w:p w14:paraId="2FF4A399">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外弃10Km</w:t>
            </w:r>
          </w:p>
        </w:tc>
      </w:tr>
      <w:tr w14:paraId="6D1279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2" w:hRule="atLeast"/>
          <w:jc w:val="center"/>
        </w:trPr>
        <w:tc>
          <w:tcPr>
            <w:tcW w:w="1108" w:type="dxa"/>
            <w:tcBorders>
              <w:tl2br w:val="nil"/>
              <w:tr2bl w:val="nil"/>
            </w:tcBorders>
            <w:shd w:val="clear" w:color="auto" w:fill="auto"/>
            <w:noWrap/>
            <w:vAlign w:val="center"/>
          </w:tcPr>
          <w:p w14:paraId="43249F1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2.8</w:t>
            </w:r>
          </w:p>
        </w:tc>
        <w:tc>
          <w:tcPr>
            <w:tcW w:w="3779" w:type="dxa"/>
            <w:tcBorders>
              <w:tl2br w:val="nil"/>
              <w:tr2bl w:val="nil"/>
            </w:tcBorders>
            <w:shd w:val="clear" w:color="auto" w:fill="auto"/>
            <w:vAlign w:val="center"/>
          </w:tcPr>
          <w:p w14:paraId="1565B070">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拆除现状树池</w:t>
            </w:r>
          </w:p>
        </w:tc>
        <w:tc>
          <w:tcPr>
            <w:tcW w:w="901" w:type="dxa"/>
            <w:tcBorders>
              <w:tl2br w:val="nil"/>
              <w:tr2bl w:val="nil"/>
            </w:tcBorders>
            <w:shd w:val="clear" w:color="auto" w:fill="auto"/>
            <w:noWrap/>
            <w:vAlign w:val="center"/>
          </w:tcPr>
          <w:p w14:paraId="608E8ED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m³</w:t>
            </w:r>
          </w:p>
        </w:tc>
        <w:tc>
          <w:tcPr>
            <w:tcW w:w="1563" w:type="dxa"/>
            <w:tcBorders>
              <w:tl2br w:val="nil"/>
              <w:tr2bl w:val="nil"/>
            </w:tcBorders>
            <w:shd w:val="clear" w:color="auto" w:fill="auto"/>
            <w:noWrap/>
            <w:vAlign w:val="center"/>
          </w:tcPr>
          <w:p w14:paraId="068B0FA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9.36</w:t>
            </w:r>
          </w:p>
        </w:tc>
        <w:tc>
          <w:tcPr>
            <w:tcW w:w="2689" w:type="dxa"/>
            <w:tcBorders>
              <w:tl2br w:val="nil"/>
              <w:tr2bl w:val="nil"/>
            </w:tcBorders>
            <w:shd w:val="clear" w:color="auto" w:fill="auto"/>
            <w:noWrap/>
            <w:vAlign w:val="center"/>
          </w:tcPr>
          <w:p w14:paraId="566CE031">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1CACF3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1108" w:type="dxa"/>
            <w:tcBorders>
              <w:tl2br w:val="nil"/>
              <w:tr2bl w:val="nil"/>
            </w:tcBorders>
            <w:shd w:val="clear" w:color="auto" w:fill="auto"/>
            <w:noWrap/>
            <w:vAlign w:val="center"/>
          </w:tcPr>
          <w:p w14:paraId="4F4CD14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2.9</w:t>
            </w:r>
          </w:p>
        </w:tc>
        <w:tc>
          <w:tcPr>
            <w:tcW w:w="3779" w:type="dxa"/>
            <w:tcBorders>
              <w:tl2br w:val="nil"/>
              <w:tr2bl w:val="nil"/>
            </w:tcBorders>
            <w:shd w:val="clear" w:color="auto" w:fill="auto"/>
            <w:vAlign w:val="center"/>
          </w:tcPr>
          <w:p w14:paraId="058C47E3">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120×15×30cm芝麻白花岗石</w:t>
            </w:r>
          </w:p>
        </w:tc>
        <w:tc>
          <w:tcPr>
            <w:tcW w:w="901" w:type="dxa"/>
            <w:tcBorders>
              <w:tl2br w:val="nil"/>
              <w:tr2bl w:val="nil"/>
            </w:tcBorders>
            <w:shd w:val="clear" w:color="auto" w:fill="auto"/>
            <w:vAlign w:val="center"/>
          </w:tcPr>
          <w:p w14:paraId="073B609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m</w:t>
            </w:r>
          </w:p>
        </w:tc>
        <w:tc>
          <w:tcPr>
            <w:tcW w:w="1563" w:type="dxa"/>
            <w:tcBorders>
              <w:tl2br w:val="nil"/>
              <w:tr2bl w:val="nil"/>
            </w:tcBorders>
            <w:shd w:val="clear" w:color="auto" w:fill="auto"/>
            <w:vAlign w:val="center"/>
          </w:tcPr>
          <w:p w14:paraId="08BB72C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110.40</w:t>
            </w:r>
          </w:p>
        </w:tc>
        <w:tc>
          <w:tcPr>
            <w:tcW w:w="2689" w:type="dxa"/>
            <w:tcBorders>
              <w:tl2br w:val="nil"/>
              <w:tr2bl w:val="nil"/>
            </w:tcBorders>
            <w:shd w:val="clear" w:color="auto" w:fill="auto"/>
            <w:vAlign w:val="center"/>
          </w:tcPr>
          <w:p w14:paraId="5CBEEBEF">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3AB65A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2" w:hRule="atLeast"/>
          <w:jc w:val="center"/>
        </w:trPr>
        <w:tc>
          <w:tcPr>
            <w:tcW w:w="1108" w:type="dxa"/>
            <w:tcBorders>
              <w:tl2br w:val="nil"/>
              <w:tr2bl w:val="nil"/>
            </w:tcBorders>
            <w:shd w:val="clear" w:color="auto" w:fill="auto"/>
            <w:noWrap/>
            <w:vAlign w:val="center"/>
          </w:tcPr>
          <w:p w14:paraId="339F55A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2.10</w:t>
            </w:r>
          </w:p>
        </w:tc>
        <w:tc>
          <w:tcPr>
            <w:tcW w:w="3779" w:type="dxa"/>
            <w:tcBorders>
              <w:tl2br w:val="nil"/>
              <w:tr2bl w:val="nil"/>
            </w:tcBorders>
            <w:shd w:val="clear" w:color="auto" w:fill="auto"/>
            <w:vAlign w:val="center"/>
          </w:tcPr>
          <w:p w14:paraId="11BC6234">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2cm1:3水泥砂浆</w:t>
            </w:r>
          </w:p>
        </w:tc>
        <w:tc>
          <w:tcPr>
            <w:tcW w:w="901" w:type="dxa"/>
            <w:tcBorders>
              <w:tl2br w:val="nil"/>
              <w:tr2bl w:val="nil"/>
            </w:tcBorders>
            <w:shd w:val="clear" w:color="auto" w:fill="auto"/>
            <w:vAlign w:val="center"/>
          </w:tcPr>
          <w:p w14:paraId="0038B6B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noWrap/>
            <w:vAlign w:val="center"/>
          </w:tcPr>
          <w:p w14:paraId="1836793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16.56</w:t>
            </w:r>
          </w:p>
        </w:tc>
        <w:tc>
          <w:tcPr>
            <w:tcW w:w="2689" w:type="dxa"/>
            <w:tcBorders>
              <w:tl2br w:val="nil"/>
              <w:tr2bl w:val="nil"/>
            </w:tcBorders>
            <w:shd w:val="clear" w:color="auto" w:fill="auto"/>
            <w:noWrap/>
            <w:vAlign w:val="center"/>
          </w:tcPr>
          <w:p w14:paraId="3EC703C0">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4F5F9F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74" w:hRule="atLeast"/>
          <w:jc w:val="center"/>
        </w:trPr>
        <w:tc>
          <w:tcPr>
            <w:tcW w:w="1108" w:type="dxa"/>
            <w:tcBorders>
              <w:tl2br w:val="nil"/>
              <w:tr2bl w:val="nil"/>
            </w:tcBorders>
            <w:shd w:val="clear" w:color="auto" w:fill="auto"/>
            <w:noWrap/>
            <w:vAlign w:val="center"/>
          </w:tcPr>
          <w:p w14:paraId="0F086B3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2.11</w:t>
            </w:r>
          </w:p>
        </w:tc>
        <w:tc>
          <w:tcPr>
            <w:tcW w:w="3779" w:type="dxa"/>
            <w:tcBorders>
              <w:tl2br w:val="nil"/>
              <w:tr2bl w:val="nil"/>
            </w:tcBorders>
            <w:shd w:val="clear" w:color="auto" w:fill="auto"/>
            <w:noWrap/>
            <w:vAlign w:val="center"/>
          </w:tcPr>
          <w:p w14:paraId="453EDD91">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现状150W路灯光源更换</w:t>
            </w:r>
          </w:p>
        </w:tc>
        <w:tc>
          <w:tcPr>
            <w:tcW w:w="901" w:type="dxa"/>
            <w:tcBorders>
              <w:tl2br w:val="nil"/>
              <w:tr2bl w:val="nil"/>
            </w:tcBorders>
            <w:shd w:val="clear" w:color="auto" w:fill="auto"/>
            <w:noWrap/>
            <w:vAlign w:val="center"/>
          </w:tcPr>
          <w:p w14:paraId="5090950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盏</w:t>
            </w:r>
          </w:p>
        </w:tc>
        <w:tc>
          <w:tcPr>
            <w:tcW w:w="1563" w:type="dxa"/>
            <w:tcBorders>
              <w:tl2br w:val="nil"/>
              <w:tr2bl w:val="nil"/>
            </w:tcBorders>
            <w:shd w:val="clear" w:color="auto" w:fill="auto"/>
            <w:noWrap/>
            <w:vAlign w:val="center"/>
          </w:tcPr>
          <w:p w14:paraId="1DEA4FA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9.00</w:t>
            </w:r>
          </w:p>
        </w:tc>
        <w:tc>
          <w:tcPr>
            <w:tcW w:w="2689" w:type="dxa"/>
            <w:tcBorders>
              <w:tl2br w:val="nil"/>
              <w:tr2bl w:val="nil"/>
            </w:tcBorders>
            <w:shd w:val="clear" w:color="auto" w:fill="auto"/>
            <w:noWrap/>
            <w:vAlign w:val="center"/>
          </w:tcPr>
          <w:p w14:paraId="3531C512">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参数及规格以现状为准</w:t>
            </w:r>
          </w:p>
        </w:tc>
      </w:tr>
      <w:tr w14:paraId="1C355C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74" w:hRule="atLeast"/>
          <w:jc w:val="center"/>
        </w:trPr>
        <w:tc>
          <w:tcPr>
            <w:tcW w:w="1108" w:type="dxa"/>
            <w:tcBorders>
              <w:tl2br w:val="nil"/>
              <w:tr2bl w:val="nil"/>
            </w:tcBorders>
            <w:shd w:val="clear" w:color="auto" w:fill="auto"/>
            <w:noWrap/>
            <w:vAlign w:val="center"/>
          </w:tcPr>
          <w:p w14:paraId="2D3E4AA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2.12</w:t>
            </w:r>
          </w:p>
        </w:tc>
        <w:tc>
          <w:tcPr>
            <w:tcW w:w="3779" w:type="dxa"/>
            <w:tcBorders>
              <w:tl2br w:val="nil"/>
              <w:tr2bl w:val="nil"/>
            </w:tcBorders>
            <w:shd w:val="clear" w:color="auto" w:fill="auto"/>
            <w:noWrap/>
            <w:vAlign w:val="center"/>
          </w:tcPr>
          <w:p w14:paraId="57F02648">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现状50W路灯光源更换</w:t>
            </w:r>
          </w:p>
        </w:tc>
        <w:tc>
          <w:tcPr>
            <w:tcW w:w="901" w:type="dxa"/>
            <w:tcBorders>
              <w:tl2br w:val="nil"/>
              <w:tr2bl w:val="nil"/>
            </w:tcBorders>
            <w:shd w:val="clear" w:color="auto" w:fill="auto"/>
            <w:noWrap/>
            <w:vAlign w:val="center"/>
          </w:tcPr>
          <w:p w14:paraId="5CEC353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盏</w:t>
            </w:r>
          </w:p>
        </w:tc>
        <w:tc>
          <w:tcPr>
            <w:tcW w:w="1563" w:type="dxa"/>
            <w:tcBorders>
              <w:tl2br w:val="nil"/>
              <w:tr2bl w:val="nil"/>
            </w:tcBorders>
            <w:shd w:val="clear" w:color="auto" w:fill="auto"/>
            <w:noWrap/>
            <w:vAlign w:val="center"/>
          </w:tcPr>
          <w:p w14:paraId="2DA70F0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9.00</w:t>
            </w:r>
          </w:p>
        </w:tc>
        <w:tc>
          <w:tcPr>
            <w:tcW w:w="2689" w:type="dxa"/>
            <w:tcBorders>
              <w:tl2br w:val="nil"/>
              <w:tr2bl w:val="nil"/>
            </w:tcBorders>
            <w:shd w:val="clear" w:color="auto" w:fill="auto"/>
            <w:noWrap/>
            <w:vAlign w:val="center"/>
          </w:tcPr>
          <w:p w14:paraId="0BDC86DE">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参数及规格以现状为准</w:t>
            </w:r>
          </w:p>
        </w:tc>
      </w:tr>
      <w:tr w14:paraId="2782B6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97" w:hRule="atLeast"/>
          <w:jc w:val="center"/>
        </w:trPr>
        <w:tc>
          <w:tcPr>
            <w:tcW w:w="1108" w:type="dxa"/>
            <w:tcBorders>
              <w:tl2br w:val="nil"/>
              <w:tr2bl w:val="nil"/>
            </w:tcBorders>
            <w:shd w:val="clear" w:color="auto" w:fill="auto"/>
            <w:noWrap/>
            <w:vAlign w:val="center"/>
          </w:tcPr>
          <w:p w14:paraId="39D2967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2.13</w:t>
            </w:r>
          </w:p>
        </w:tc>
        <w:tc>
          <w:tcPr>
            <w:tcW w:w="3779" w:type="dxa"/>
            <w:tcBorders>
              <w:tl2br w:val="nil"/>
              <w:tr2bl w:val="nil"/>
            </w:tcBorders>
            <w:shd w:val="clear" w:color="auto" w:fill="auto"/>
            <w:noWrap/>
            <w:vAlign w:val="center"/>
          </w:tcPr>
          <w:p w14:paraId="5E6FF738">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现状路灯电缆更换</w:t>
            </w:r>
          </w:p>
        </w:tc>
        <w:tc>
          <w:tcPr>
            <w:tcW w:w="901" w:type="dxa"/>
            <w:tcBorders>
              <w:tl2br w:val="nil"/>
              <w:tr2bl w:val="nil"/>
            </w:tcBorders>
            <w:shd w:val="clear" w:color="auto" w:fill="auto"/>
            <w:noWrap/>
            <w:vAlign w:val="center"/>
          </w:tcPr>
          <w:p w14:paraId="13FDB53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m</w:t>
            </w:r>
          </w:p>
        </w:tc>
        <w:tc>
          <w:tcPr>
            <w:tcW w:w="1563" w:type="dxa"/>
            <w:tcBorders>
              <w:tl2br w:val="nil"/>
              <w:tr2bl w:val="nil"/>
            </w:tcBorders>
            <w:shd w:val="clear" w:color="auto" w:fill="auto"/>
            <w:noWrap/>
            <w:vAlign w:val="center"/>
          </w:tcPr>
          <w:p w14:paraId="7F2BF8C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650.00</w:t>
            </w:r>
          </w:p>
        </w:tc>
        <w:tc>
          <w:tcPr>
            <w:tcW w:w="2689" w:type="dxa"/>
            <w:tcBorders>
              <w:tl2br w:val="nil"/>
              <w:tr2bl w:val="nil"/>
            </w:tcBorders>
            <w:shd w:val="clear" w:color="auto" w:fill="auto"/>
            <w:noWrap/>
            <w:vAlign w:val="center"/>
          </w:tcPr>
          <w:p w14:paraId="67534033">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电缆暂按YJV-1kV-5x16考虑</w:t>
            </w:r>
          </w:p>
        </w:tc>
      </w:tr>
      <w:tr w14:paraId="65CBB5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2" w:hRule="atLeast"/>
          <w:jc w:val="center"/>
        </w:trPr>
        <w:tc>
          <w:tcPr>
            <w:tcW w:w="1108" w:type="dxa"/>
            <w:tcBorders>
              <w:tl2br w:val="nil"/>
              <w:tr2bl w:val="nil"/>
            </w:tcBorders>
            <w:shd w:val="clear" w:color="auto" w:fill="auto"/>
            <w:noWrap/>
            <w:vAlign w:val="center"/>
          </w:tcPr>
          <w:p w14:paraId="3225A27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三</w:t>
            </w:r>
          </w:p>
        </w:tc>
        <w:tc>
          <w:tcPr>
            <w:tcW w:w="3779" w:type="dxa"/>
            <w:tcBorders>
              <w:tl2br w:val="nil"/>
              <w:tr2bl w:val="nil"/>
            </w:tcBorders>
            <w:shd w:val="clear" w:color="auto" w:fill="auto"/>
            <w:noWrap/>
            <w:vAlign w:val="center"/>
          </w:tcPr>
          <w:p w14:paraId="078BEFF4">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地下管网修复</w:t>
            </w:r>
          </w:p>
        </w:tc>
        <w:tc>
          <w:tcPr>
            <w:tcW w:w="901" w:type="dxa"/>
            <w:tcBorders>
              <w:tl2br w:val="nil"/>
              <w:tr2bl w:val="nil"/>
            </w:tcBorders>
            <w:shd w:val="clear" w:color="auto" w:fill="auto"/>
            <w:noWrap/>
            <w:vAlign w:val="center"/>
          </w:tcPr>
          <w:p w14:paraId="17DD535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p>
        </w:tc>
        <w:tc>
          <w:tcPr>
            <w:tcW w:w="1563" w:type="dxa"/>
            <w:tcBorders>
              <w:tl2br w:val="nil"/>
              <w:tr2bl w:val="nil"/>
            </w:tcBorders>
            <w:shd w:val="clear" w:color="auto" w:fill="auto"/>
            <w:noWrap/>
            <w:vAlign w:val="center"/>
          </w:tcPr>
          <w:p w14:paraId="2AFCE56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p>
        </w:tc>
        <w:tc>
          <w:tcPr>
            <w:tcW w:w="2689" w:type="dxa"/>
            <w:tcBorders>
              <w:tl2br w:val="nil"/>
              <w:tr2bl w:val="nil"/>
            </w:tcBorders>
            <w:shd w:val="clear" w:color="auto" w:fill="auto"/>
            <w:noWrap/>
            <w:vAlign w:val="center"/>
          </w:tcPr>
          <w:p w14:paraId="691B2064">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2B4250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2" w:hRule="atLeast"/>
          <w:jc w:val="center"/>
        </w:trPr>
        <w:tc>
          <w:tcPr>
            <w:tcW w:w="1108" w:type="dxa"/>
            <w:tcBorders>
              <w:tl2br w:val="nil"/>
              <w:tr2bl w:val="nil"/>
            </w:tcBorders>
            <w:shd w:val="clear" w:color="auto" w:fill="auto"/>
            <w:noWrap/>
            <w:vAlign w:val="center"/>
          </w:tcPr>
          <w:p w14:paraId="78EEA6E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3.1</w:t>
            </w:r>
          </w:p>
        </w:tc>
        <w:tc>
          <w:tcPr>
            <w:tcW w:w="3779" w:type="dxa"/>
            <w:tcBorders>
              <w:tl2br w:val="nil"/>
              <w:tr2bl w:val="nil"/>
            </w:tcBorders>
            <w:shd w:val="clear" w:color="auto" w:fill="auto"/>
            <w:vAlign w:val="center"/>
          </w:tcPr>
          <w:p w14:paraId="4257EAE5">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现状雨水篦子更换</w:t>
            </w:r>
          </w:p>
        </w:tc>
        <w:tc>
          <w:tcPr>
            <w:tcW w:w="901" w:type="dxa"/>
            <w:tcBorders>
              <w:tl2br w:val="nil"/>
              <w:tr2bl w:val="nil"/>
            </w:tcBorders>
            <w:shd w:val="clear" w:color="auto" w:fill="auto"/>
            <w:vAlign w:val="center"/>
          </w:tcPr>
          <w:p w14:paraId="7817EB8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座</w:t>
            </w:r>
          </w:p>
        </w:tc>
        <w:tc>
          <w:tcPr>
            <w:tcW w:w="1563" w:type="dxa"/>
            <w:tcBorders>
              <w:tl2br w:val="nil"/>
              <w:tr2bl w:val="nil"/>
            </w:tcBorders>
            <w:shd w:val="clear" w:color="auto" w:fill="auto"/>
            <w:vAlign w:val="center"/>
          </w:tcPr>
          <w:p w14:paraId="5B65B6E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86.00</w:t>
            </w:r>
          </w:p>
        </w:tc>
        <w:tc>
          <w:tcPr>
            <w:tcW w:w="2689" w:type="dxa"/>
            <w:tcBorders>
              <w:tl2br w:val="nil"/>
              <w:tr2bl w:val="nil"/>
            </w:tcBorders>
            <w:shd w:val="clear" w:color="auto" w:fill="auto"/>
            <w:vAlign w:val="center"/>
          </w:tcPr>
          <w:p w14:paraId="5C5A5D5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p>
        </w:tc>
      </w:tr>
      <w:tr w14:paraId="5B6EC9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2" w:hRule="atLeast"/>
          <w:jc w:val="center"/>
        </w:trPr>
        <w:tc>
          <w:tcPr>
            <w:tcW w:w="1108" w:type="dxa"/>
            <w:tcBorders>
              <w:tl2br w:val="nil"/>
              <w:tr2bl w:val="nil"/>
            </w:tcBorders>
            <w:shd w:val="clear" w:color="auto" w:fill="auto"/>
            <w:noWrap/>
            <w:vAlign w:val="center"/>
          </w:tcPr>
          <w:p w14:paraId="71BF640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3.2</w:t>
            </w:r>
          </w:p>
        </w:tc>
        <w:tc>
          <w:tcPr>
            <w:tcW w:w="3779" w:type="dxa"/>
            <w:tcBorders>
              <w:tl2br w:val="nil"/>
              <w:tr2bl w:val="nil"/>
            </w:tcBorders>
            <w:shd w:val="clear" w:color="auto" w:fill="auto"/>
            <w:vAlign w:val="center"/>
          </w:tcPr>
          <w:p w14:paraId="139E1D23">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现状雨水口拆除新建</w:t>
            </w:r>
          </w:p>
        </w:tc>
        <w:tc>
          <w:tcPr>
            <w:tcW w:w="901" w:type="dxa"/>
            <w:tcBorders>
              <w:tl2br w:val="nil"/>
              <w:tr2bl w:val="nil"/>
            </w:tcBorders>
            <w:shd w:val="clear" w:color="auto" w:fill="auto"/>
            <w:vAlign w:val="center"/>
          </w:tcPr>
          <w:p w14:paraId="6ABB426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座</w:t>
            </w:r>
          </w:p>
        </w:tc>
        <w:tc>
          <w:tcPr>
            <w:tcW w:w="1563" w:type="dxa"/>
            <w:tcBorders>
              <w:tl2br w:val="nil"/>
              <w:tr2bl w:val="nil"/>
            </w:tcBorders>
            <w:shd w:val="clear" w:color="auto" w:fill="auto"/>
            <w:vAlign w:val="center"/>
          </w:tcPr>
          <w:p w14:paraId="7429619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7.00</w:t>
            </w:r>
          </w:p>
        </w:tc>
        <w:tc>
          <w:tcPr>
            <w:tcW w:w="2689" w:type="dxa"/>
            <w:tcBorders>
              <w:tl2br w:val="nil"/>
              <w:tr2bl w:val="nil"/>
            </w:tcBorders>
            <w:shd w:val="clear" w:color="auto" w:fill="auto"/>
            <w:vAlign w:val="center"/>
          </w:tcPr>
          <w:p w14:paraId="71AEFEE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p>
        </w:tc>
      </w:tr>
      <w:tr w14:paraId="469C3A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1108" w:type="dxa"/>
            <w:tcBorders>
              <w:tl2br w:val="nil"/>
              <w:tr2bl w:val="nil"/>
            </w:tcBorders>
            <w:shd w:val="clear" w:color="auto" w:fill="auto"/>
            <w:noWrap/>
            <w:vAlign w:val="center"/>
          </w:tcPr>
          <w:p w14:paraId="094A04E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3.3</w:t>
            </w:r>
          </w:p>
        </w:tc>
        <w:tc>
          <w:tcPr>
            <w:tcW w:w="3779" w:type="dxa"/>
            <w:tcBorders>
              <w:tl2br w:val="nil"/>
              <w:tr2bl w:val="nil"/>
            </w:tcBorders>
            <w:shd w:val="clear" w:color="auto" w:fill="auto"/>
            <w:vAlign w:val="center"/>
          </w:tcPr>
          <w:p w14:paraId="1F0E461C">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现状污水检查井井盖、井座更换</w:t>
            </w:r>
          </w:p>
        </w:tc>
        <w:tc>
          <w:tcPr>
            <w:tcW w:w="901" w:type="dxa"/>
            <w:tcBorders>
              <w:tl2br w:val="nil"/>
              <w:tr2bl w:val="nil"/>
            </w:tcBorders>
            <w:shd w:val="clear" w:color="auto" w:fill="auto"/>
            <w:vAlign w:val="center"/>
          </w:tcPr>
          <w:p w14:paraId="321FFF7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座</w:t>
            </w:r>
          </w:p>
        </w:tc>
        <w:tc>
          <w:tcPr>
            <w:tcW w:w="1563" w:type="dxa"/>
            <w:tcBorders>
              <w:tl2br w:val="nil"/>
              <w:tr2bl w:val="nil"/>
            </w:tcBorders>
            <w:shd w:val="clear" w:color="auto" w:fill="auto"/>
            <w:vAlign w:val="center"/>
          </w:tcPr>
          <w:p w14:paraId="2B2EBF9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7.00</w:t>
            </w:r>
          </w:p>
        </w:tc>
        <w:tc>
          <w:tcPr>
            <w:tcW w:w="2689" w:type="dxa"/>
            <w:tcBorders>
              <w:tl2br w:val="nil"/>
              <w:tr2bl w:val="nil"/>
            </w:tcBorders>
            <w:shd w:val="clear" w:color="auto" w:fill="auto"/>
            <w:vAlign w:val="center"/>
          </w:tcPr>
          <w:p w14:paraId="182891F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p>
        </w:tc>
      </w:tr>
      <w:tr w14:paraId="102805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1108" w:type="dxa"/>
            <w:tcBorders>
              <w:tl2br w:val="nil"/>
              <w:tr2bl w:val="nil"/>
            </w:tcBorders>
            <w:shd w:val="clear" w:color="auto" w:fill="auto"/>
            <w:noWrap/>
            <w:vAlign w:val="center"/>
          </w:tcPr>
          <w:p w14:paraId="353B3D3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3.4</w:t>
            </w:r>
          </w:p>
        </w:tc>
        <w:tc>
          <w:tcPr>
            <w:tcW w:w="3779" w:type="dxa"/>
            <w:tcBorders>
              <w:tl2br w:val="nil"/>
              <w:tr2bl w:val="nil"/>
            </w:tcBorders>
            <w:shd w:val="clear" w:color="auto" w:fill="auto"/>
            <w:vAlign w:val="center"/>
          </w:tcPr>
          <w:p w14:paraId="1C99C82E">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现状雨水检查井井盖、井座更换</w:t>
            </w:r>
          </w:p>
        </w:tc>
        <w:tc>
          <w:tcPr>
            <w:tcW w:w="901" w:type="dxa"/>
            <w:tcBorders>
              <w:tl2br w:val="nil"/>
              <w:tr2bl w:val="nil"/>
            </w:tcBorders>
            <w:shd w:val="clear" w:color="auto" w:fill="auto"/>
            <w:vAlign w:val="center"/>
          </w:tcPr>
          <w:p w14:paraId="7CF592A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座</w:t>
            </w:r>
          </w:p>
        </w:tc>
        <w:tc>
          <w:tcPr>
            <w:tcW w:w="1563" w:type="dxa"/>
            <w:tcBorders>
              <w:tl2br w:val="nil"/>
              <w:tr2bl w:val="nil"/>
            </w:tcBorders>
            <w:shd w:val="clear" w:color="auto" w:fill="auto"/>
            <w:vAlign w:val="center"/>
          </w:tcPr>
          <w:p w14:paraId="436EA81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4.00</w:t>
            </w:r>
          </w:p>
        </w:tc>
        <w:tc>
          <w:tcPr>
            <w:tcW w:w="2689" w:type="dxa"/>
            <w:tcBorders>
              <w:tl2br w:val="nil"/>
              <w:tr2bl w:val="nil"/>
            </w:tcBorders>
            <w:shd w:val="clear" w:color="auto" w:fill="auto"/>
            <w:vAlign w:val="center"/>
          </w:tcPr>
          <w:p w14:paraId="7AFFA59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p>
        </w:tc>
      </w:tr>
      <w:tr w14:paraId="7A360E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2" w:hRule="atLeast"/>
          <w:jc w:val="center"/>
        </w:trPr>
        <w:tc>
          <w:tcPr>
            <w:tcW w:w="1108" w:type="dxa"/>
            <w:tcBorders>
              <w:tl2br w:val="nil"/>
              <w:tr2bl w:val="nil"/>
            </w:tcBorders>
            <w:shd w:val="clear" w:color="auto" w:fill="auto"/>
            <w:noWrap/>
            <w:vAlign w:val="center"/>
          </w:tcPr>
          <w:p w14:paraId="28C248B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3.5</w:t>
            </w:r>
          </w:p>
        </w:tc>
        <w:tc>
          <w:tcPr>
            <w:tcW w:w="3779" w:type="dxa"/>
            <w:tcBorders>
              <w:tl2br w:val="nil"/>
              <w:tr2bl w:val="nil"/>
            </w:tcBorders>
            <w:shd w:val="clear" w:color="auto" w:fill="auto"/>
            <w:vAlign w:val="center"/>
          </w:tcPr>
          <w:p w14:paraId="2D9933EA">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防坠网更换</w:t>
            </w:r>
          </w:p>
        </w:tc>
        <w:tc>
          <w:tcPr>
            <w:tcW w:w="901" w:type="dxa"/>
            <w:tcBorders>
              <w:tl2br w:val="nil"/>
              <w:tr2bl w:val="nil"/>
            </w:tcBorders>
            <w:shd w:val="clear" w:color="auto" w:fill="auto"/>
            <w:vAlign w:val="center"/>
          </w:tcPr>
          <w:p w14:paraId="7290DBD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套</w:t>
            </w:r>
          </w:p>
        </w:tc>
        <w:tc>
          <w:tcPr>
            <w:tcW w:w="1563" w:type="dxa"/>
            <w:tcBorders>
              <w:tl2br w:val="nil"/>
              <w:tr2bl w:val="nil"/>
            </w:tcBorders>
            <w:shd w:val="clear" w:color="auto" w:fill="auto"/>
            <w:vAlign w:val="center"/>
          </w:tcPr>
          <w:p w14:paraId="2AF0948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103.00</w:t>
            </w:r>
          </w:p>
        </w:tc>
        <w:tc>
          <w:tcPr>
            <w:tcW w:w="2689" w:type="dxa"/>
            <w:tcBorders>
              <w:tl2br w:val="nil"/>
              <w:tr2bl w:val="nil"/>
            </w:tcBorders>
            <w:shd w:val="clear" w:color="auto" w:fill="auto"/>
            <w:vAlign w:val="center"/>
          </w:tcPr>
          <w:p w14:paraId="3A140CD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p>
        </w:tc>
      </w:tr>
      <w:tr w14:paraId="2B454B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89" w:hRule="atLeast"/>
          <w:jc w:val="center"/>
        </w:trPr>
        <w:tc>
          <w:tcPr>
            <w:tcW w:w="1108" w:type="dxa"/>
            <w:tcBorders>
              <w:tl2br w:val="nil"/>
              <w:tr2bl w:val="nil"/>
            </w:tcBorders>
            <w:shd w:val="clear" w:color="auto" w:fill="auto"/>
            <w:noWrap/>
            <w:vAlign w:val="center"/>
          </w:tcPr>
          <w:p w14:paraId="35F793B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3.6</w:t>
            </w:r>
          </w:p>
        </w:tc>
        <w:tc>
          <w:tcPr>
            <w:tcW w:w="3779" w:type="dxa"/>
            <w:tcBorders>
              <w:tl2br w:val="nil"/>
              <w:tr2bl w:val="nil"/>
            </w:tcBorders>
            <w:shd w:val="clear" w:color="auto" w:fill="auto"/>
            <w:vAlign w:val="center"/>
          </w:tcPr>
          <w:p w14:paraId="1C2FDA21">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现状给水、电力、通信、路灯井盖更换</w:t>
            </w:r>
          </w:p>
        </w:tc>
        <w:tc>
          <w:tcPr>
            <w:tcW w:w="901" w:type="dxa"/>
            <w:tcBorders>
              <w:tl2br w:val="nil"/>
              <w:tr2bl w:val="nil"/>
            </w:tcBorders>
            <w:shd w:val="clear" w:color="auto" w:fill="auto"/>
            <w:vAlign w:val="center"/>
          </w:tcPr>
          <w:p w14:paraId="6C6C9C3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座</w:t>
            </w:r>
          </w:p>
        </w:tc>
        <w:tc>
          <w:tcPr>
            <w:tcW w:w="1563" w:type="dxa"/>
            <w:tcBorders>
              <w:tl2br w:val="nil"/>
              <w:tr2bl w:val="nil"/>
            </w:tcBorders>
            <w:shd w:val="clear" w:color="auto" w:fill="auto"/>
            <w:vAlign w:val="center"/>
          </w:tcPr>
          <w:p w14:paraId="1094D83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128.00</w:t>
            </w:r>
          </w:p>
        </w:tc>
        <w:tc>
          <w:tcPr>
            <w:tcW w:w="2689" w:type="dxa"/>
            <w:tcBorders>
              <w:tl2br w:val="nil"/>
              <w:tr2bl w:val="nil"/>
            </w:tcBorders>
            <w:shd w:val="clear" w:color="auto" w:fill="auto"/>
            <w:vAlign w:val="center"/>
          </w:tcPr>
          <w:p w14:paraId="2B4317C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p>
        </w:tc>
      </w:tr>
      <w:tr w14:paraId="6810AF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2" w:hRule="atLeast"/>
          <w:jc w:val="center"/>
        </w:trPr>
        <w:tc>
          <w:tcPr>
            <w:tcW w:w="1108" w:type="dxa"/>
            <w:tcBorders>
              <w:tl2br w:val="nil"/>
              <w:tr2bl w:val="nil"/>
            </w:tcBorders>
            <w:shd w:val="clear" w:color="auto" w:fill="auto"/>
            <w:noWrap/>
            <w:vAlign w:val="center"/>
          </w:tcPr>
          <w:p w14:paraId="3106679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四</w:t>
            </w:r>
          </w:p>
        </w:tc>
        <w:tc>
          <w:tcPr>
            <w:tcW w:w="3779" w:type="dxa"/>
            <w:tcBorders>
              <w:tl2br w:val="nil"/>
              <w:tr2bl w:val="nil"/>
            </w:tcBorders>
            <w:shd w:val="clear" w:color="auto" w:fill="auto"/>
            <w:noWrap/>
            <w:vAlign w:val="center"/>
          </w:tcPr>
          <w:p w14:paraId="66BB87DB">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绿化修复</w:t>
            </w:r>
          </w:p>
        </w:tc>
        <w:tc>
          <w:tcPr>
            <w:tcW w:w="901" w:type="dxa"/>
            <w:tcBorders>
              <w:tl2br w:val="nil"/>
              <w:tr2bl w:val="nil"/>
            </w:tcBorders>
            <w:shd w:val="clear" w:color="auto" w:fill="auto"/>
            <w:noWrap/>
            <w:vAlign w:val="center"/>
          </w:tcPr>
          <w:p w14:paraId="6F80E5B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p>
        </w:tc>
        <w:tc>
          <w:tcPr>
            <w:tcW w:w="1563" w:type="dxa"/>
            <w:tcBorders>
              <w:tl2br w:val="nil"/>
              <w:tr2bl w:val="nil"/>
            </w:tcBorders>
            <w:shd w:val="clear" w:color="auto" w:fill="auto"/>
            <w:noWrap/>
            <w:vAlign w:val="center"/>
          </w:tcPr>
          <w:p w14:paraId="12922B4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p>
        </w:tc>
        <w:tc>
          <w:tcPr>
            <w:tcW w:w="2689" w:type="dxa"/>
            <w:tcBorders>
              <w:tl2br w:val="nil"/>
              <w:tr2bl w:val="nil"/>
            </w:tcBorders>
            <w:shd w:val="clear" w:color="auto" w:fill="auto"/>
            <w:noWrap/>
            <w:vAlign w:val="center"/>
          </w:tcPr>
          <w:p w14:paraId="35D97573">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3B9AAF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97" w:hRule="atLeast"/>
          <w:jc w:val="center"/>
        </w:trPr>
        <w:tc>
          <w:tcPr>
            <w:tcW w:w="1108" w:type="dxa"/>
            <w:tcBorders>
              <w:tl2br w:val="nil"/>
              <w:tr2bl w:val="nil"/>
            </w:tcBorders>
            <w:shd w:val="clear" w:color="auto" w:fill="auto"/>
            <w:vAlign w:val="center"/>
          </w:tcPr>
          <w:p w14:paraId="4A17405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4.1</w:t>
            </w:r>
          </w:p>
        </w:tc>
        <w:tc>
          <w:tcPr>
            <w:tcW w:w="3779" w:type="dxa"/>
            <w:tcBorders>
              <w:tl2br w:val="nil"/>
              <w:tr2bl w:val="nil"/>
            </w:tcBorders>
            <w:shd w:val="clear" w:color="auto" w:fill="auto"/>
            <w:vAlign w:val="center"/>
          </w:tcPr>
          <w:p w14:paraId="70A67403">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海桐</w:t>
            </w:r>
          </w:p>
        </w:tc>
        <w:tc>
          <w:tcPr>
            <w:tcW w:w="901" w:type="dxa"/>
            <w:tcBorders>
              <w:tl2br w:val="nil"/>
              <w:tr2bl w:val="nil"/>
            </w:tcBorders>
            <w:shd w:val="clear" w:color="auto" w:fill="auto"/>
            <w:vAlign w:val="center"/>
          </w:tcPr>
          <w:p w14:paraId="23DF2EC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5D8E414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303.87</w:t>
            </w:r>
          </w:p>
        </w:tc>
        <w:tc>
          <w:tcPr>
            <w:tcW w:w="2689" w:type="dxa"/>
            <w:tcBorders>
              <w:tl2br w:val="nil"/>
              <w:tr2bl w:val="nil"/>
            </w:tcBorders>
            <w:shd w:val="clear" w:color="auto" w:fill="auto"/>
            <w:vAlign w:val="center"/>
          </w:tcPr>
          <w:p w14:paraId="00756F10">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高度35-40cm，冠幅20-25cm，64株/㎡</w:t>
            </w:r>
          </w:p>
        </w:tc>
      </w:tr>
      <w:tr w14:paraId="78F210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97" w:hRule="atLeast"/>
          <w:jc w:val="center"/>
        </w:trPr>
        <w:tc>
          <w:tcPr>
            <w:tcW w:w="1108" w:type="dxa"/>
            <w:tcBorders>
              <w:tl2br w:val="nil"/>
              <w:tr2bl w:val="nil"/>
            </w:tcBorders>
            <w:shd w:val="clear" w:color="auto" w:fill="auto"/>
            <w:vAlign w:val="center"/>
          </w:tcPr>
          <w:p w14:paraId="55A8EA2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4.2</w:t>
            </w:r>
          </w:p>
        </w:tc>
        <w:tc>
          <w:tcPr>
            <w:tcW w:w="3779" w:type="dxa"/>
            <w:tcBorders>
              <w:tl2br w:val="nil"/>
              <w:tr2bl w:val="nil"/>
            </w:tcBorders>
            <w:shd w:val="clear" w:color="auto" w:fill="auto"/>
            <w:vAlign w:val="center"/>
          </w:tcPr>
          <w:p w14:paraId="5A4B58F1">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红叶石楠</w:t>
            </w:r>
          </w:p>
        </w:tc>
        <w:tc>
          <w:tcPr>
            <w:tcW w:w="901" w:type="dxa"/>
            <w:tcBorders>
              <w:tl2br w:val="nil"/>
              <w:tr2bl w:val="nil"/>
            </w:tcBorders>
            <w:shd w:val="clear" w:color="auto" w:fill="auto"/>
            <w:vAlign w:val="center"/>
          </w:tcPr>
          <w:p w14:paraId="2E2EB81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313CC0C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307.19</w:t>
            </w:r>
          </w:p>
        </w:tc>
        <w:tc>
          <w:tcPr>
            <w:tcW w:w="2689" w:type="dxa"/>
            <w:tcBorders>
              <w:tl2br w:val="nil"/>
              <w:tr2bl w:val="nil"/>
            </w:tcBorders>
            <w:shd w:val="clear" w:color="auto" w:fill="auto"/>
            <w:vAlign w:val="center"/>
          </w:tcPr>
          <w:p w14:paraId="386A3622">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高度35-40cm，冠幅20-25cm，64株/㎡</w:t>
            </w:r>
          </w:p>
        </w:tc>
      </w:tr>
      <w:tr w14:paraId="6D30E0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2" w:hRule="atLeast"/>
          <w:jc w:val="center"/>
        </w:trPr>
        <w:tc>
          <w:tcPr>
            <w:tcW w:w="1108" w:type="dxa"/>
            <w:tcBorders>
              <w:tl2br w:val="nil"/>
              <w:tr2bl w:val="nil"/>
            </w:tcBorders>
            <w:shd w:val="clear" w:color="auto" w:fill="auto"/>
            <w:vAlign w:val="center"/>
          </w:tcPr>
          <w:p w14:paraId="751D6EC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4.4</w:t>
            </w:r>
          </w:p>
        </w:tc>
        <w:tc>
          <w:tcPr>
            <w:tcW w:w="3779" w:type="dxa"/>
            <w:tcBorders>
              <w:tl2br w:val="nil"/>
              <w:tr2bl w:val="nil"/>
            </w:tcBorders>
            <w:shd w:val="clear" w:color="auto" w:fill="auto"/>
            <w:vAlign w:val="center"/>
          </w:tcPr>
          <w:p w14:paraId="32BB268F">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种植土</w:t>
            </w:r>
          </w:p>
        </w:tc>
        <w:tc>
          <w:tcPr>
            <w:tcW w:w="901" w:type="dxa"/>
            <w:tcBorders>
              <w:tl2br w:val="nil"/>
              <w:tr2bl w:val="nil"/>
            </w:tcBorders>
            <w:shd w:val="clear" w:color="auto" w:fill="auto"/>
            <w:vAlign w:val="center"/>
          </w:tcPr>
          <w:p w14:paraId="6AF09C2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18ADC2B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305.53</w:t>
            </w:r>
          </w:p>
        </w:tc>
        <w:tc>
          <w:tcPr>
            <w:tcW w:w="2689" w:type="dxa"/>
            <w:tcBorders>
              <w:tl2br w:val="nil"/>
              <w:tr2bl w:val="nil"/>
            </w:tcBorders>
            <w:shd w:val="clear" w:color="auto" w:fill="auto"/>
            <w:vAlign w:val="center"/>
          </w:tcPr>
          <w:p w14:paraId="4C109814">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tr w14:paraId="649E31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9" w:hRule="atLeast"/>
          <w:jc w:val="center"/>
        </w:trPr>
        <w:tc>
          <w:tcPr>
            <w:tcW w:w="1108" w:type="dxa"/>
            <w:tcBorders>
              <w:tl2br w:val="nil"/>
              <w:tr2bl w:val="nil"/>
            </w:tcBorders>
            <w:shd w:val="clear" w:color="auto" w:fill="auto"/>
            <w:vAlign w:val="center"/>
          </w:tcPr>
          <w:p w14:paraId="385809A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4.5</w:t>
            </w:r>
          </w:p>
        </w:tc>
        <w:tc>
          <w:tcPr>
            <w:tcW w:w="3779" w:type="dxa"/>
            <w:tcBorders>
              <w:tl2br w:val="nil"/>
              <w:tr2bl w:val="nil"/>
            </w:tcBorders>
            <w:shd w:val="clear" w:color="auto" w:fill="auto"/>
            <w:vAlign w:val="center"/>
          </w:tcPr>
          <w:p w14:paraId="78A02C4A">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现状绿化清理</w:t>
            </w:r>
          </w:p>
        </w:tc>
        <w:tc>
          <w:tcPr>
            <w:tcW w:w="901" w:type="dxa"/>
            <w:tcBorders>
              <w:tl2br w:val="nil"/>
              <w:tr2bl w:val="nil"/>
            </w:tcBorders>
            <w:shd w:val="clear" w:color="auto" w:fill="auto"/>
            <w:vAlign w:val="center"/>
          </w:tcPr>
          <w:p w14:paraId="15685EE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w:t>
            </w:r>
          </w:p>
        </w:tc>
        <w:tc>
          <w:tcPr>
            <w:tcW w:w="1563" w:type="dxa"/>
            <w:tcBorders>
              <w:tl2br w:val="nil"/>
              <w:tr2bl w:val="nil"/>
            </w:tcBorders>
            <w:shd w:val="clear" w:color="auto" w:fill="auto"/>
            <w:vAlign w:val="center"/>
          </w:tcPr>
          <w:p w14:paraId="2CDB5C8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611.06</w:t>
            </w:r>
          </w:p>
        </w:tc>
        <w:tc>
          <w:tcPr>
            <w:tcW w:w="2689" w:type="dxa"/>
            <w:tcBorders>
              <w:tl2br w:val="nil"/>
              <w:tr2bl w:val="nil"/>
            </w:tcBorders>
            <w:shd w:val="clear" w:color="auto" w:fill="auto"/>
            <w:vAlign w:val="center"/>
          </w:tcPr>
          <w:p w14:paraId="3A527922">
            <w:pPr>
              <w:keepNext w:val="0"/>
              <w:keepLines w:val="0"/>
              <w:widowControl/>
              <w:suppressLineNumbers w:val="0"/>
              <w:ind w:left="0" w:leftChars="0" w:firstLine="0" w:firstLineChars="0"/>
              <w:jc w:val="left"/>
              <w:textAlignment w:val="center"/>
              <w:rPr>
                <w:rFonts w:hint="eastAsia" w:ascii="仿宋" w:hAnsi="仿宋" w:eastAsia="仿宋" w:cs="仿宋"/>
                <w:i w:val="0"/>
                <w:iCs w:val="0"/>
                <w:color w:val="000000"/>
                <w:kern w:val="0"/>
                <w:sz w:val="24"/>
                <w:szCs w:val="24"/>
                <w:u w:val="none"/>
                <w:lang w:val="en-US" w:eastAsia="zh-CN" w:bidi="ar"/>
              </w:rPr>
            </w:pPr>
          </w:p>
        </w:tc>
      </w:tr>
      <w:bookmarkEnd w:id="82"/>
    </w:tbl>
    <w:p w14:paraId="486BE4CD">
      <w:pPr>
        <w:bidi w:val="0"/>
        <w:rPr>
          <w:rFonts w:hint="eastAsia"/>
          <w:color w:val="auto"/>
          <w:lang w:val="en-US" w:eastAsia="zh-CN"/>
        </w:rPr>
      </w:pPr>
    </w:p>
    <w:sectPr>
      <w:type w:val="continuous"/>
      <w:pgSz w:w="23814" w:h="16839" w:orient="landscape"/>
      <w:pgMar w:top="1440" w:right="1080" w:bottom="1440" w:left="1080" w:header="851" w:footer="992" w:gutter="0"/>
      <w:pgBorders>
        <w:top w:val="none" w:sz="0" w:space="0"/>
        <w:left w:val="none" w:sz="0" w:space="0"/>
        <w:bottom w:val="none" w:sz="0" w:space="0"/>
        <w:right w:val="none" w:sz="0" w:space="0"/>
      </w:pgBorders>
      <w:pgNumType w:fmt="decimal" w:start="1"/>
      <w:cols w:space="425" w:num="2"/>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2FF" w:usb1="400004FF" w:usb2="00000000" w:usb3="00000000" w:csb0="2000019F" w:csb1="00000000"/>
  </w:font>
  <w:font w:name="华文中宋">
    <w:panose1 w:val="02010600040101010101"/>
    <w:charset w:val="86"/>
    <w:family w:val="auto"/>
    <w:pitch w:val="default"/>
    <w:sig w:usb0="00000287" w:usb1="080F0000" w:usb2="00000000" w:usb3="00000000" w:csb0="0004009F" w:csb1="DFD70000"/>
  </w:font>
  <w:font w:name="Arial Unicode MS">
    <w:panose1 w:val="020B0604020202020204"/>
    <w:charset w:val="86"/>
    <w:family w:val="swiss"/>
    <w:pitch w:val="default"/>
    <w:sig w:usb0="FFFFFFFF" w:usb1="E9FFFFFF" w:usb2="0000003F" w:usb3="00000000" w:csb0="603F01FF" w:csb1="FFFF0000"/>
  </w:font>
  <w:font w:name="Tahoma">
    <w:panose1 w:val="020B0604030504040204"/>
    <w:charset w:val="00"/>
    <w:family w:val="swiss"/>
    <w:pitch w:val="default"/>
    <w:sig w:usb0="E1002EFF" w:usb1="C000605B" w:usb2="00000029" w:usb3="00000000" w:csb0="200101FF" w:csb1="2028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等线">
    <w:altName w:val="微软雅黑"/>
    <w:panose1 w:val="02010600030101010101"/>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26874D">
    <w:pPr>
      <w:pStyle w:val="300"/>
      <w:pBdr>
        <w:top w:val="none" w:color="auto" w:sz="0" w:space="1"/>
        <w:left w:val="none" w:color="auto" w:sz="0" w:space="0"/>
        <w:bottom w:val="none" w:color="auto" w:sz="0" w:space="0"/>
        <w:right w:val="none" w:color="auto" w:sz="0" w:space="0"/>
        <w:between w:val="none" w:color="auto" w:sz="0" w:space="0"/>
      </w:pBdr>
      <w:ind w:firstLine="480"/>
      <w:jc w:val="center"/>
    </w:pPr>
    <w:r>
      <w:rPr>
        <w:sz w:val="24"/>
      </w:rPr>
      <w:pict>
        <v:shape id="_x0000_s2049" o:spid="_x0000_s2049" o:spt="202" type="#_x0000_t202" style="position:absolute;left:0pt;margin-top:0pt;height:144pt;width:144pt;mso-position-horizontal:center;mso-position-horizontal-relative:margin;mso-wrap-style:none;z-index:251660288;mso-width-relative:page;mso-height-relative:page;" filled="f" stroked="f" coordsize="21600,21600">
          <v:path/>
          <v:fill on="f" focussize="0,0"/>
          <v:stroke on="f"/>
          <v:imagedata o:title=""/>
          <o:lock v:ext="edit" aspectratio="f"/>
          <v:textbox inset="0mm,0mm,0mm,0mm" style="mso-fit-shape-to-text:t;">
            <w:txbxContent>
              <w:p w14:paraId="29FB804D">
                <w:pPr>
                  <w:pStyle w:val="55"/>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28</w:t>
                </w:r>
                <w:r>
                  <w:fldChar w:fldCharType="end"/>
                </w:r>
                <w:r>
                  <w:t xml:space="preserve"> 页</w:t>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01174C">
    <w:pPr>
      <w:pStyle w:val="300"/>
      <w:pBdr>
        <w:bottom w:val="none" w:color="auto" w:sz="0" w:space="1"/>
      </w:pBdr>
      <w:ind w:firstLine="480"/>
      <w:jc w:val="center"/>
      <w:rPr>
        <w:rFonts w:hint="eastAsia" w:eastAsia="仿宋_GB2312"/>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A53FDBF"/>
    <w:multiLevelType w:val="singleLevel"/>
    <w:tmpl w:val="9A53FDBF"/>
    <w:lvl w:ilvl="0" w:tentative="0">
      <w:start w:val="1"/>
      <w:numFmt w:val="decimal"/>
      <w:suff w:val="nothing"/>
      <w:lvlText w:val="%1．"/>
      <w:lvlJc w:val="left"/>
      <w:pPr>
        <w:ind w:left="0" w:firstLine="400"/>
      </w:pPr>
      <w:rPr>
        <w:rFonts w:hint="default"/>
      </w:rPr>
    </w:lvl>
  </w:abstractNum>
  <w:abstractNum w:abstractNumId="1">
    <w:nsid w:val="9B34AA8C"/>
    <w:multiLevelType w:val="singleLevel"/>
    <w:tmpl w:val="9B34AA8C"/>
    <w:lvl w:ilvl="0" w:tentative="0">
      <w:start w:val="1"/>
      <w:numFmt w:val="decimal"/>
      <w:suff w:val="nothing"/>
      <w:lvlText w:val="%1．"/>
      <w:lvlJc w:val="left"/>
      <w:pPr>
        <w:ind w:left="0" w:firstLine="400"/>
      </w:pPr>
      <w:rPr>
        <w:rFonts w:hint="default"/>
      </w:rPr>
    </w:lvl>
  </w:abstractNum>
  <w:abstractNum w:abstractNumId="2">
    <w:nsid w:val="9E99D1CC"/>
    <w:multiLevelType w:val="singleLevel"/>
    <w:tmpl w:val="9E99D1CC"/>
    <w:lvl w:ilvl="0" w:tentative="0">
      <w:start w:val="1"/>
      <w:numFmt w:val="decimal"/>
      <w:suff w:val="nothing"/>
      <w:lvlText w:val="%1．"/>
      <w:lvlJc w:val="left"/>
      <w:pPr>
        <w:ind w:left="0" w:firstLine="400"/>
      </w:pPr>
      <w:rPr>
        <w:rFonts w:hint="default"/>
      </w:rPr>
    </w:lvl>
  </w:abstractNum>
  <w:abstractNum w:abstractNumId="3">
    <w:nsid w:val="9FBBC368"/>
    <w:multiLevelType w:val="multilevel"/>
    <w:tmpl w:val="9FBBC368"/>
    <w:lvl w:ilvl="0" w:tentative="0">
      <w:start w:val="1"/>
      <w:numFmt w:val="decimal"/>
      <w:suff w:val="space"/>
      <w:lvlText w:val="%1 "/>
      <w:lvlJc w:val="left"/>
      <w:pPr>
        <w:ind w:left="0" w:firstLine="0"/>
      </w:pPr>
      <w:rPr>
        <w:rFonts w:hint="default" w:ascii="仿宋" w:hAnsi="仿宋" w:eastAsia="仿宋" w:cs="仿宋"/>
        <w:b/>
        <w:bCs w:val="0"/>
        <w:i w:val="0"/>
        <w:iCs w:val="0"/>
        <w:caps w:val="0"/>
        <w:smallCaps w:val="0"/>
        <w:strike w:val="0"/>
        <w:dstrike w:val="0"/>
        <w:vanish w:val="0"/>
        <w:spacing w:val="0"/>
        <w:position w:val="0"/>
        <w:u w:val="none"/>
        <w:vertAlign w:val="baseline"/>
      </w:rPr>
    </w:lvl>
    <w:lvl w:ilvl="1" w:tentative="0">
      <w:start w:val="1"/>
      <w:numFmt w:val="decimal"/>
      <w:isLgl/>
      <w:suff w:val="space"/>
      <w:lvlText w:val="%1.%2"/>
      <w:lvlJc w:val="left"/>
      <w:pPr>
        <w:ind w:left="0" w:firstLine="0"/>
      </w:pPr>
      <w:rPr>
        <w:rFonts w:hint="default" w:ascii="仿宋" w:hAnsi="仿宋" w:eastAsia="仿宋" w:cs="仿宋"/>
        <w:sz w:val="28"/>
        <w:szCs w:val="28"/>
      </w:rPr>
    </w:lvl>
    <w:lvl w:ilvl="2" w:tentative="0">
      <w:start w:val="1"/>
      <w:numFmt w:val="decimal"/>
      <w:isLgl/>
      <w:suff w:val="space"/>
      <w:lvlText w:val="%1.%2.%3"/>
      <w:lvlJc w:val="left"/>
      <w:pPr>
        <w:ind w:left="0" w:firstLine="0"/>
      </w:pPr>
      <w:rPr>
        <w:rFonts w:hint="default" w:ascii="仿宋" w:hAnsi="仿宋" w:eastAsia="仿宋" w:cs="仿宋"/>
        <w:b/>
        <w:bCs/>
        <w:i w:val="0"/>
        <w:iCs w:val="0"/>
        <w:caps w:val="0"/>
        <w:smallCaps w:val="0"/>
        <w:strike w:val="0"/>
        <w:dstrike w:val="0"/>
        <w:snapToGrid w:val="0"/>
        <w:vanish w:val="0"/>
        <w:color w:val="000000"/>
        <w:spacing w:val="0"/>
        <w:w w:val="100"/>
        <w:kern w:val="0"/>
        <w:position w:val="0"/>
        <w:sz w:val="24"/>
        <w:szCs w:val="24"/>
        <w:u w:val="none"/>
        <w:vertAlign w:val="baseline"/>
      </w:rPr>
    </w:lvl>
    <w:lvl w:ilvl="3" w:tentative="0">
      <w:start w:val="1"/>
      <w:numFmt w:val="decimal"/>
      <w:isLgl/>
      <w:suff w:val="nothing"/>
      <w:lvlText w:val="%1.%2.%3.%4"/>
      <w:lvlJc w:val="left"/>
      <w:pPr>
        <w:ind w:left="0" w:firstLine="0"/>
      </w:pPr>
      <w:rPr>
        <w:rFonts w:hint="eastAsia"/>
      </w:rPr>
    </w:lvl>
    <w:lvl w:ilvl="4" w:tentative="0">
      <w:start w:val="1"/>
      <w:numFmt w:val="none"/>
      <w:suff w:val="nothing"/>
      <w:lvlText w:val=""/>
      <w:lvlJc w:val="left"/>
      <w:pPr>
        <w:ind w:left="0" w:firstLine="0"/>
      </w:pPr>
      <w:rPr>
        <w:rFonts w:hint="eastAsia"/>
      </w:rPr>
    </w:lvl>
    <w:lvl w:ilvl="5" w:tentative="0">
      <w:start w:val="1"/>
      <w:numFmt w:val="none"/>
      <w:suff w:val="nothing"/>
      <w:lvlText w:val=""/>
      <w:lvlJc w:val="left"/>
      <w:pPr>
        <w:ind w:left="0" w:firstLine="0"/>
      </w:pPr>
      <w:rPr>
        <w:rFonts w:hint="eastAsia"/>
      </w:rPr>
    </w:lvl>
    <w:lvl w:ilvl="6" w:tentative="0">
      <w:start w:val="1"/>
      <w:numFmt w:val="none"/>
      <w:suff w:val="nothing"/>
      <w:lvlText w:val=""/>
      <w:lvlJc w:val="left"/>
      <w:pPr>
        <w:ind w:left="0" w:firstLine="0"/>
      </w:pPr>
      <w:rPr>
        <w:rFonts w:hint="eastAsia"/>
      </w:rPr>
    </w:lvl>
    <w:lvl w:ilvl="7" w:tentative="0">
      <w:start w:val="1"/>
      <w:numFmt w:val="none"/>
      <w:suff w:val="nothing"/>
      <w:lvlText w:val=""/>
      <w:lvlJc w:val="left"/>
      <w:pPr>
        <w:ind w:left="0" w:firstLine="0"/>
      </w:pPr>
      <w:rPr>
        <w:rFonts w:hint="eastAsia"/>
      </w:rPr>
    </w:lvl>
    <w:lvl w:ilvl="8" w:tentative="0">
      <w:start w:val="1"/>
      <w:numFmt w:val="none"/>
      <w:suff w:val="nothing"/>
      <w:lvlText w:val=""/>
      <w:lvlJc w:val="left"/>
      <w:pPr>
        <w:ind w:left="0" w:firstLine="0"/>
      </w:pPr>
      <w:rPr>
        <w:rFonts w:hint="eastAsia"/>
      </w:rPr>
    </w:lvl>
  </w:abstractNum>
  <w:abstractNum w:abstractNumId="4">
    <w:nsid w:val="A8222BA6"/>
    <w:multiLevelType w:val="multilevel"/>
    <w:tmpl w:val="A8222BA6"/>
    <w:lvl w:ilvl="0" w:tentative="0">
      <w:start w:val="1"/>
      <w:numFmt w:val="decimal"/>
      <w:suff w:val="nothing"/>
      <w:lvlText w:val="%1．"/>
      <w:lvlJc w:val="left"/>
      <w:pPr>
        <w:ind w:left="0" w:firstLine="400"/>
      </w:pPr>
      <w:rPr>
        <w:rFonts w:hint="default"/>
      </w:rPr>
    </w:lvl>
    <w:lvl w:ilvl="1" w:tentative="0">
      <w:start w:val="1"/>
      <w:numFmt w:val="decimal"/>
      <w:lvlText w:val="(%2)"/>
      <w:lvlJc w:val="left"/>
      <w:pPr>
        <w:tabs>
          <w:tab w:val="left" w:pos="840"/>
        </w:tabs>
        <w:ind w:left="1240" w:leftChars="0" w:hanging="420" w:firstLineChars="0"/>
      </w:pPr>
      <w:rPr>
        <w:rFonts w:hint="default"/>
      </w:rPr>
    </w:lvl>
    <w:lvl w:ilvl="2" w:tentative="0">
      <w:start w:val="1"/>
      <w:numFmt w:val="decimalEnclosedCircleChinese"/>
      <w:lvlText w:val="%3"/>
      <w:lvlJc w:val="left"/>
      <w:pPr>
        <w:tabs>
          <w:tab w:val="left" w:pos="1260"/>
        </w:tabs>
        <w:ind w:left="1660" w:leftChars="0" w:hanging="420" w:firstLineChars="0"/>
      </w:pPr>
      <w:rPr>
        <w:rFonts w:hint="default"/>
      </w:rPr>
    </w:lvl>
    <w:lvl w:ilvl="3" w:tentative="0">
      <w:start w:val="1"/>
      <w:numFmt w:val="decimal"/>
      <w:lvlText w:val="%4)"/>
      <w:lvlJc w:val="left"/>
      <w:pPr>
        <w:tabs>
          <w:tab w:val="left" w:pos="1680"/>
        </w:tabs>
        <w:ind w:left="2080" w:leftChars="0" w:hanging="420" w:firstLineChars="0"/>
      </w:pPr>
      <w:rPr>
        <w:rFonts w:hint="default"/>
      </w:rPr>
    </w:lvl>
    <w:lvl w:ilvl="4" w:tentative="0">
      <w:start w:val="1"/>
      <w:numFmt w:val="lowerLetter"/>
      <w:lvlText w:val="%5."/>
      <w:lvlJc w:val="left"/>
      <w:pPr>
        <w:tabs>
          <w:tab w:val="left" w:pos="2100"/>
        </w:tabs>
        <w:ind w:left="2500" w:leftChars="0" w:hanging="420" w:firstLineChars="0"/>
      </w:pPr>
      <w:rPr>
        <w:rFonts w:hint="default"/>
      </w:rPr>
    </w:lvl>
    <w:lvl w:ilvl="5" w:tentative="0">
      <w:start w:val="1"/>
      <w:numFmt w:val="lowerLetter"/>
      <w:lvlText w:val="%6)"/>
      <w:lvlJc w:val="left"/>
      <w:pPr>
        <w:tabs>
          <w:tab w:val="left" w:pos="2520"/>
        </w:tabs>
        <w:ind w:left="2920" w:leftChars="0" w:hanging="420" w:firstLineChars="0"/>
      </w:pPr>
      <w:rPr>
        <w:rFonts w:hint="default"/>
      </w:rPr>
    </w:lvl>
    <w:lvl w:ilvl="6" w:tentative="0">
      <w:start w:val="1"/>
      <w:numFmt w:val="lowerRoman"/>
      <w:lvlText w:val="%7."/>
      <w:lvlJc w:val="left"/>
      <w:pPr>
        <w:tabs>
          <w:tab w:val="left" w:pos="2940"/>
        </w:tabs>
        <w:ind w:left="3340" w:leftChars="0" w:hanging="420" w:firstLineChars="0"/>
      </w:pPr>
      <w:rPr>
        <w:rFonts w:hint="default"/>
      </w:rPr>
    </w:lvl>
    <w:lvl w:ilvl="7" w:tentative="0">
      <w:start w:val="1"/>
      <w:numFmt w:val="lowerRoman"/>
      <w:lvlText w:val="%8)"/>
      <w:lvlJc w:val="left"/>
      <w:pPr>
        <w:tabs>
          <w:tab w:val="left" w:pos="3360"/>
        </w:tabs>
        <w:ind w:left="3760" w:leftChars="0" w:hanging="420" w:firstLineChars="0"/>
      </w:pPr>
      <w:rPr>
        <w:rFonts w:hint="default"/>
      </w:rPr>
    </w:lvl>
    <w:lvl w:ilvl="8" w:tentative="0">
      <w:start w:val="1"/>
      <w:numFmt w:val="lowerLetter"/>
      <w:lvlText w:val="%9."/>
      <w:lvlJc w:val="left"/>
      <w:pPr>
        <w:tabs>
          <w:tab w:val="left" w:pos="3780"/>
        </w:tabs>
        <w:ind w:left="4180" w:leftChars="0" w:hanging="420" w:firstLineChars="0"/>
      </w:pPr>
      <w:rPr>
        <w:rFonts w:hint="default"/>
      </w:rPr>
    </w:lvl>
  </w:abstractNum>
  <w:abstractNum w:abstractNumId="5">
    <w:nsid w:val="AC53044F"/>
    <w:multiLevelType w:val="singleLevel"/>
    <w:tmpl w:val="AC53044F"/>
    <w:lvl w:ilvl="0" w:tentative="0">
      <w:start w:val="1"/>
      <w:numFmt w:val="decimal"/>
      <w:lvlText w:val="%1)"/>
      <w:lvlJc w:val="left"/>
      <w:pPr>
        <w:ind w:left="425" w:hanging="425"/>
      </w:pPr>
      <w:rPr>
        <w:rFonts w:hint="default"/>
      </w:rPr>
    </w:lvl>
  </w:abstractNum>
  <w:abstractNum w:abstractNumId="6">
    <w:nsid w:val="BD734780"/>
    <w:multiLevelType w:val="singleLevel"/>
    <w:tmpl w:val="BD734780"/>
    <w:lvl w:ilvl="0" w:tentative="0">
      <w:start w:val="1"/>
      <w:numFmt w:val="decimalEnclosedCircleChinese"/>
      <w:suff w:val="nothing"/>
      <w:lvlText w:val="%1　"/>
      <w:lvlJc w:val="left"/>
      <w:pPr>
        <w:ind w:left="0" w:firstLine="400"/>
      </w:pPr>
      <w:rPr>
        <w:rFonts w:hint="eastAsia"/>
      </w:rPr>
    </w:lvl>
  </w:abstractNum>
  <w:abstractNum w:abstractNumId="7">
    <w:nsid w:val="C2C87389"/>
    <w:multiLevelType w:val="singleLevel"/>
    <w:tmpl w:val="C2C87389"/>
    <w:lvl w:ilvl="0" w:tentative="0">
      <w:start w:val="1"/>
      <w:numFmt w:val="decimal"/>
      <w:suff w:val="nothing"/>
      <w:lvlText w:val="%1．"/>
      <w:lvlJc w:val="left"/>
      <w:pPr>
        <w:ind w:left="0" w:firstLine="400"/>
      </w:pPr>
      <w:rPr>
        <w:rFonts w:hint="default"/>
      </w:rPr>
    </w:lvl>
  </w:abstractNum>
  <w:abstractNum w:abstractNumId="8">
    <w:nsid w:val="C9ABE142"/>
    <w:multiLevelType w:val="singleLevel"/>
    <w:tmpl w:val="C9ABE142"/>
    <w:lvl w:ilvl="0" w:tentative="0">
      <w:start w:val="1"/>
      <w:numFmt w:val="decimal"/>
      <w:lvlText w:val="%1)"/>
      <w:lvlJc w:val="left"/>
      <w:pPr>
        <w:ind w:left="425" w:hanging="425"/>
      </w:pPr>
      <w:rPr>
        <w:rFonts w:hint="default"/>
      </w:rPr>
    </w:lvl>
  </w:abstractNum>
  <w:abstractNum w:abstractNumId="9">
    <w:nsid w:val="D186C588"/>
    <w:multiLevelType w:val="singleLevel"/>
    <w:tmpl w:val="D186C588"/>
    <w:lvl w:ilvl="0" w:tentative="0">
      <w:start w:val="1"/>
      <w:numFmt w:val="decimal"/>
      <w:lvlText w:val="%1)"/>
      <w:lvlJc w:val="left"/>
      <w:pPr>
        <w:ind w:left="425" w:hanging="425"/>
      </w:pPr>
      <w:rPr>
        <w:rFonts w:hint="default"/>
      </w:rPr>
    </w:lvl>
  </w:abstractNum>
  <w:abstractNum w:abstractNumId="10">
    <w:nsid w:val="EFE75102"/>
    <w:multiLevelType w:val="singleLevel"/>
    <w:tmpl w:val="EFE75102"/>
    <w:lvl w:ilvl="0" w:tentative="0">
      <w:start w:val="1"/>
      <w:numFmt w:val="decimal"/>
      <w:suff w:val="nothing"/>
      <w:lvlText w:val="%1．"/>
      <w:lvlJc w:val="left"/>
      <w:pPr>
        <w:ind w:left="0" w:firstLine="400"/>
      </w:pPr>
      <w:rPr>
        <w:rFonts w:hint="default"/>
      </w:rPr>
    </w:lvl>
  </w:abstractNum>
  <w:abstractNum w:abstractNumId="11">
    <w:nsid w:val="FEDB45E4"/>
    <w:multiLevelType w:val="singleLevel"/>
    <w:tmpl w:val="FEDB45E4"/>
    <w:lvl w:ilvl="0" w:tentative="0">
      <w:start w:val="1"/>
      <w:numFmt w:val="decimal"/>
      <w:suff w:val="nothing"/>
      <w:lvlText w:val="%1．"/>
      <w:lvlJc w:val="left"/>
      <w:pPr>
        <w:ind w:left="0" w:firstLine="400"/>
      </w:pPr>
      <w:rPr>
        <w:rFonts w:hint="default"/>
      </w:rPr>
    </w:lvl>
  </w:abstractNum>
  <w:abstractNum w:abstractNumId="12">
    <w:nsid w:val="FFFFFF7C"/>
    <w:multiLevelType w:val="singleLevel"/>
    <w:tmpl w:val="FFFFFF7C"/>
    <w:lvl w:ilvl="0" w:tentative="0">
      <w:start w:val="1"/>
      <w:numFmt w:val="decimal"/>
      <w:pStyle w:val="65"/>
      <w:lvlText w:val="%1."/>
      <w:lvlJc w:val="left"/>
      <w:pPr>
        <w:tabs>
          <w:tab w:val="left" w:pos="2040"/>
        </w:tabs>
        <w:ind w:left="2040" w:leftChars="800" w:hanging="360" w:hangingChars="200"/>
      </w:pPr>
    </w:lvl>
  </w:abstractNum>
  <w:abstractNum w:abstractNumId="13">
    <w:nsid w:val="FFFFFF7D"/>
    <w:multiLevelType w:val="singleLevel"/>
    <w:tmpl w:val="FFFFFF7D"/>
    <w:lvl w:ilvl="0" w:tentative="0">
      <w:start w:val="1"/>
      <w:numFmt w:val="decimal"/>
      <w:pStyle w:val="47"/>
      <w:lvlText w:val="%1."/>
      <w:lvlJc w:val="left"/>
      <w:pPr>
        <w:tabs>
          <w:tab w:val="left" w:pos="1620"/>
        </w:tabs>
        <w:ind w:left="1620" w:leftChars="600" w:hanging="360" w:hangingChars="200"/>
      </w:pPr>
    </w:lvl>
  </w:abstractNum>
  <w:abstractNum w:abstractNumId="14">
    <w:nsid w:val="FFFFFF7E"/>
    <w:multiLevelType w:val="singleLevel"/>
    <w:tmpl w:val="FFFFFF7E"/>
    <w:lvl w:ilvl="0" w:tentative="0">
      <w:start w:val="1"/>
      <w:numFmt w:val="decimal"/>
      <w:pStyle w:val="36"/>
      <w:lvlText w:val="%1."/>
      <w:lvlJc w:val="left"/>
      <w:pPr>
        <w:tabs>
          <w:tab w:val="left" w:pos="1200"/>
        </w:tabs>
        <w:ind w:left="1200" w:leftChars="400" w:hanging="360" w:hangingChars="200"/>
      </w:pPr>
    </w:lvl>
  </w:abstractNum>
  <w:abstractNum w:abstractNumId="15">
    <w:nsid w:val="FFFFFF7F"/>
    <w:multiLevelType w:val="singleLevel"/>
    <w:tmpl w:val="FFFFFF7F"/>
    <w:lvl w:ilvl="0" w:tentative="0">
      <w:start w:val="1"/>
      <w:numFmt w:val="decimal"/>
      <w:pStyle w:val="14"/>
      <w:lvlText w:val="%1."/>
      <w:lvlJc w:val="left"/>
      <w:pPr>
        <w:tabs>
          <w:tab w:val="left" w:pos="780"/>
        </w:tabs>
        <w:ind w:left="780" w:leftChars="200" w:hanging="360" w:hangingChars="200"/>
      </w:pPr>
    </w:lvl>
  </w:abstractNum>
  <w:abstractNum w:abstractNumId="16">
    <w:nsid w:val="FFFFFF80"/>
    <w:multiLevelType w:val="singleLevel"/>
    <w:tmpl w:val="FFFFFF80"/>
    <w:lvl w:ilvl="0" w:tentative="0">
      <w:start w:val="1"/>
      <w:numFmt w:val="bullet"/>
      <w:pStyle w:val="46"/>
      <w:lvlText w:val=""/>
      <w:lvlJc w:val="left"/>
      <w:pPr>
        <w:tabs>
          <w:tab w:val="left" w:pos="2040"/>
        </w:tabs>
        <w:ind w:left="2040" w:leftChars="800" w:hanging="360" w:hangingChars="200"/>
      </w:pPr>
      <w:rPr>
        <w:rFonts w:hint="default" w:ascii="Wingdings" w:hAnsi="Wingdings"/>
      </w:rPr>
    </w:lvl>
  </w:abstractNum>
  <w:abstractNum w:abstractNumId="17">
    <w:nsid w:val="FFFFFF81"/>
    <w:multiLevelType w:val="singleLevel"/>
    <w:tmpl w:val="FFFFFF81"/>
    <w:lvl w:ilvl="0" w:tentative="0">
      <w:start w:val="1"/>
      <w:numFmt w:val="bullet"/>
      <w:pStyle w:val="17"/>
      <w:lvlText w:val=""/>
      <w:lvlJc w:val="left"/>
      <w:pPr>
        <w:tabs>
          <w:tab w:val="left" w:pos="1620"/>
        </w:tabs>
        <w:ind w:left="1620" w:leftChars="600" w:hanging="360" w:hangingChars="200"/>
      </w:pPr>
      <w:rPr>
        <w:rFonts w:hint="default" w:ascii="Wingdings" w:hAnsi="Wingdings"/>
      </w:rPr>
    </w:lvl>
  </w:abstractNum>
  <w:abstractNum w:abstractNumId="18">
    <w:nsid w:val="FFFFFF82"/>
    <w:multiLevelType w:val="singleLevel"/>
    <w:tmpl w:val="FFFFFF82"/>
    <w:lvl w:ilvl="0" w:tentative="0">
      <w:start w:val="1"/>
      <w:numFmt w:val="bullet"/>
      <w:pStyle w:val="34"/>
      <w:lvlText w:val=""/>
      <w:lvlJc w:val="left"/>
      <w:pPr>
        <w:tabs>
          <w:tab w:val="left" w:pos="1200"/>
        </w:tabs>
        <w:ind w:left="1200" w:leftChars="400" w:hanging="360" w:hangingChars="200"/>
      </w:pPr>
      <w:rPr>
        <w:rFonts w:hint="default" w:ascii="Wingdings" w:hAnsi="Wingdings"/>
      </w:rPr>
    </w:lvl>
  </w:abstractNum>
  <w:abstractNum w:abstractNumId="19">
    <w:nsid w:val="FFFFFF83"/>
    <w:multiLevelType w:val="singleLevel"/>
    <w:tmpl w:val="FFFFFF83"/>
    <w:lvl w:ilvl="0" w:tentative="0">
      <w:start w:val="1"/>
      <w:numFmt w:val="bullet"/>
      <w:pStyle w:val="40"/>
      <w:lvlText w:val=""/>
      <w:lvlJc w:val="left"/>
      <w:pPr>
        <w:tabs>
          <w:tab w:val="left" w:pos="780"/>
        </w:tabs>
        <w:ind w:left="780" w:leftChars="200" w:hanging="360" w:hangingChars="200"/>
      </w:pPr>
      <w:rPr>
        <w:rFonts w:hint="default" w:ascii="Wingdings" w:hAnsi="Wingdings"/>
      </w:rPr>
    </w:lvl>
  </w:abstractNum>
  <w:abstractNum w:abstractNumId="20">
    <w:nsid w:val="FFFFFF88"/>
    <w:multiLevelType w:val="singleLevel"/>
    <w:tmpl w:val="FFFFFF88"/>
    <w:lvl w:ilvl="0" w:tentative="0">
      <w:start w:val="1"/>
      <w:numFmt w:val="decimal"/>
      <w:pStyle w:val="20"/>
      <w:lvlText w:val="%1."/>
      <w:lvlJc w:val="left"/>
      <w:pPr>
        <w:tabs>
          <w:tab w:val="left" w:pos="360"/>
        </w:tabs>
        <w:ind w:left="360" w:hanging="360" w:hangingChars="200"/>
      </w:pPr>
    </w:lvl>
  </w:abstractNum>
  <w:abstractNum w:abstractNumId="21">
    <w:nsid w:val="FFFFFF89"/>
    <w:multiLevelType w:val="singleLevel"/>
    <w:tmpl w:val="FFFFFF89"/>
    <w:lvl w:ilvl="0" w:tentative="0">
      <w:start w:val="1"/>
      <w:numFmt w:val="bullet"/>
      <w:pStyle w:val="25"/>
      <w:lvlText w:val=""/>
      <w:lvlJc w:val="left"/>
      <w:pPr>
        <w:tabs>
          <w:tab w:val="left" w:pos="360"/>
        </w:tabs>
        <w:ind w:left="360" w:hanging="360" w:hangingChars="200"/>
      </w:pPr>
      <w:rPr>
        <w:rFonts w:hint="default" w:ascii="Wingdings" w:hAnsi="Wingdings"/>
      </w:rPr>
    </w:lvl>
  </w:abstractNum>
  <w:abstractNum w:abstractNumId="22">
    <w:nsid w:val="16F9C16F"/>
    <w:multiLevelType w:val="singleLevel"/>
    <w:tmpl w:val="16F9C16F"/>
    <w:lvl w:ilvl="0" w:tentative="0">
      <w:start w:val="1"/>
      <w:numFmt w:val="decimal"/>
      <w:lvlText w:val="%1)"/>
      <w:lvlJc w:val="left"/>
      <w:pPr>
        <w:ind w:left="425" w:hanging="425"/>
      </w:pPr>
      <w:rPr>
        <w:rFonts w:hint="default"/>
      </w:rPr>
    </w:lvl>
  </w:abstractNum>
  <w:abstractNum w:abstractNumId="23">
    <w:nsid w:val="1C4B19FA"/>
    <w:multiLevelType w:val="multilevel"/>
    <w:tmpl w:val="1C4B19FA"/>
    <w:lvl w:ilvl="0" w:tentative="0">
      <w:start w:val="1"/>
      <w:numFmt w:val="decimalEnclosedCircle"/>
      <w:lvlText w:val="%1"/>
      <w:lvlJc w:val="left"/>
      <w:pPr>
        <w:ind w:left="886" w:hanging="360"/>
      </w:pPr>
      <w:rPr>
        <w:rFonts w:hint="default"/>
      </w:rPr>
    </w:lvl>
    <w:lvl w:ilvl="1" w:tentative="0">
      <w:start w:val="1"/>
      <w:numFmt w:val="lowerLetter"/>
      <w:lvlText w:val="%2)"/>
      <w:lvlJc w:val="left"/>
      <w:pPr>
        <w:ind w:left="1366" w:hanging="420"/>
      </w:pPr>
    </w:lvl>
    <w:lvl w:ilvl="2" w:tentative="0">
      <w:start w:val="1"/>
      <w:numFmt w:val="lowerRoman"/>
      <w:lvlText w:val="%3."/>
      <w:lvlJc w:val="right"/>
      <w:pPr>
        <w:ind w:left="1786" w:hanging="420"/>
      </w:pPr>
    </w:lvl>
    <w:lvl w:ilvl="3" w:tentative="0">
      <w:start w:val="1"/>
      <w:numFmt w:val="decimal"/>
      <w:lvlText w:val="%4."/>
      <w:lvlJc w:val="left"/>
      <w:pPr>
        <w:ind w:left="2206" w:hanging="420"/>
      </w:pPr>
    </w:lvl>
    <w:lvl w:ilvl="4" w:tentative="0">
      <w:start w:val="1"/>
      <w:numFmt w:val="lowerLetter"/>
      <w:lvlText w:val="%5)"/>
      <w:lvlJc w:val="left"/>
      <w:pPr>
        <w:ind w:left="2626" w:hanging="420"/>
      </w:pPr>
    </w:lvl>
    <w:lvl w:ilvl="5" w:tentative="0">
      <w:start w:val="1"/>
      <w:numFmt w:val="lowerRoman"/>
      <w:lvlText w:val="%6."/>
      <w:lvlJc w:val="right"/>
      <w:pPr>
        <w:ind w:left="3046" w:hanging="420"/>
      </w:pPr>
    </w:lvl>
    <w:lvl w:ilvl="6" w:tentative="0">
      <w:start w:val="1"/>
      <w:numFmt w:val="decimal"/>
      <w:lvlText w:val="%7."/>
      <w:lvlJc w:val="left"/>
      <w:pPr>
        <w:ind w:left="3466" w:hanging="420"/>
      </w:pPr>
    </w:lvl>
    <w:lvl w:ilvl="7" w:tentative="0">
      <w:start w:val="1"/>
      <w:numFmt w:val="lowerLetter"/>
      <w:lvlText w:val="%8)"/>
      <w:lvlJc w:val="left"/>
      <w:pPr>
        <w:ind w:left="3886" w:hanging="420"/>
      </w:pPr>
    </w:lvl>
    <w:lvl w:ilvl="8" w:tentative="0">
      <w:start w:val="1"/>
      <w:numFmt w:val="lowerRoman"/>
      <w:lvlText w:val="%9."/>
      <w:lvlJc w:val="right"/>
      <w:pPr>
        <w:ind w:left="4306" w:hanging="420"/>
      </w:pPr>
    </w:lvl>
  </w:abstractNum>
  <w:abstractNum w:abstractNumId="24">
    <w:nsid w:val="2BA8F0AE"/>
    <w:multiLevelType w:val="singleLevel"/>
    <w:tmpl w:val="2BA8F0AE"/>
    <w:lvl w:ilvl="0" w:tentative="0">
      <w:start w:val="1"/>
      <w:numFmt w:val="decimal"/>
      <w:suff w:val="nothing"/>
      <w:lvlText w:val="%1．"/>
      <w:lvlJc w:val="left"/>
      <w:pPr>
        <w:ind w:left="0" w:firstLine="400"/>
      </w:pPr>
      <w:rPr>
        <w:rFonts w:hint="default"/>
      </w:rPr>
    </w:lvl>
  </w:abstractNum>
  <w:abstractNum w:abstractNumId="25">
    <w:nsid w:val="3CE27C15"/>
    <w:multiLevelType w:val="singleLevel"/>
    <w:tmpl w:val="3CE27C15"/>
    <w:lvl w:ilvl="0" w:tentative="0">
      <w:start w:val="1"/>
      <w:numFmt w:val="decimal"/>
      <w:suff w:val="nothing"/>
      <w:lvlText w:val="%1．"/>
      <w:lvlJc w:val="left"/>
      <w:pPr>
        <w:ind w:left="0" w:firstLine="400"/>
      </w:pPr>
      <w:rPr>
        <w:rFonts w:hint="default"/>
      </w:rPr>
    </w:lvl>
  </w:abstractNum>
  <w:abstractNum w:abstractNumId="26">
    <w:nsid w:val="4B3F145C"/>
    <w:multiLevelType w:val="multilevel"/>
    <w:tmpl w:val="4B3F145C"/>
    <w:lvl w:ilvl="0" w:tentative="0">
      <w:start w:val="1"/>
      <w:numFmt w:val="decimal"/>
      <w:suff w:val="nothing"/>
      <w:lvlText w:val="%1．"/>
      <w:lvlJc w:val="left"/>
      <w:pPr>
        <w:ind w:left="0" w:firstLine="400"/>
      </w:pPr>
      <w:rPr>
        <w:rFonts w:hint="default"/>
      </w:rPr>
    </w:lvl>
    <w:lvl w:ilvl="1" w:tentative="0">
      <w:start w:val="1"/>
      <w:numFmt w:val="decimal"/>
      <w:lvlText w:val="(%2)"/>
      <w:lvlJc w:val="left"/>
      <w:pPr>
        <w:tabs>
          <w:tab w:val="left" w:pos="840"/>
        </w:tabs>
        <w:ind w:left="1240" w:leftChars="0" w:hanging="420" w:firstLineChars="0"/>
      </w:pPr>
      <w:rPr>
        <w:rFonts w:hint="default"/>
      </w:rPr>
    </w:lvl>
    <w:lvl w:ilvl="2" w:tentative="0">
      <w:start w:val="1"/>
      <w:numFmt w:val="decimalEnclosedCircleChinese"/>
      <w:lvlText w:val="%3"/>
      <w:lvlJc w:val="left"/>
      <w:pPr>
        <w:tabs>
          <w:tab w:val="left" w:pos="1260"/>
        </w:tabs>
        <w:ind w:left="1660" w:leftChars="0" w:hanging="420" w:firstLineChars="0"/>
      </w:pPr>
      <w:rPr>
        <w:rFonts w:hint="default"/>
      </w:rPr>
    </w:lvl>
    <w:lvl w:ilvl="3" w:tentative="0">
      <w:start w:val="1"/>
      <w:numFmt w:val="decimal"/>
      <w:lvlText w:val="%4)"/>
      <w:lvlJc w:val="left"/>
      <w:pPr>
        <w:tabs>
          <w:tab w:val="left" w:pos="1680"/>
        </w:tabs>
        <w:ind w:left="2080" w:leftChars="0" w:hanging="420" w:firstLineChars="0"/>
      </w:pPr>
      <w:rPr>
        <w:rFonts w:hint="default"/>
      </w:rPr>
    </w:lvl>
    <w:lvl w:ilvl="4" w:tentative="0">
      <w:start w:val="1"/>
      <w:numFmt w:val="lowerLetter"/>
      <w:lvlText w:val="%5."/>
      <w:lvlJc w:val="left"/>
      <w:pPr>
        <w:tabs>
          <w:tab w:val="left" w:pos="2100"/>
        </w:tabs>
        <w:ind w:left="2500" w:leftChars="0" w:hanging="420" w:firstLineChars="0"/>
      </w:pPr>
      <w:rPr>
        <w:rFonts w:hint="default"/>
      </w:rPr>
    </w:lvl>
    <w:lvl w:ilvl="5" w:tentative="0">
      <w:start w:val="1"/>
      <w:numFmt w:val="lowerLetter"/>
      <w:lvlText w:val="%6)"/>
      <w:lvlJc w:val="left"/>
      <w:pPr>
        <w:tabs>
          <w:tab w:val="left" w:pos="2520"/>
        </w:tabs>
        <w:ind w:left="2920" w:leftChars="0" w:hanging="420" w:firstLineChars="0"/>
      </w:pPr>
      <w:rPr>
        <w:rFonts w:hint="default"/>
      </w:rPr>
    </w:lvl>
    <w:lvl w:ilvl="6" w:tentative="0">
      <w:start w:val="1"/>
      <w:numFmt w:val="lowerRoman"/>
      <w:lvlText w:val="%7."/>
      <w:lvlJc w:val="left"/>
      <w:pPr>
        <w:tabs>
          <w:tab w:val="left" w:pos="2940"/>
        </w:tabs>
        <w:ind w:left="3340" w:leftChars="0" w:hanging="420" w:firstLineChars="0"/>
      </w:pPr>
      <w:rPr>
        <w:rFonts w:hint="default"/>
      </w:rPr>
    </w:lvl>
    <w:lvl w:ilvl="7" w:tentative="0">
      <w:start w:val="1"/>
      <w:numFmt w:val="lowerRoman"/>
      <w:lvlText w:val="%8)"/>
      <w:lvlJc w:val="left"/>
      <w:pPr>
        <w:tabs>
          <w:tab w:val="left" w:pos="3360"/>
        </w:tabs>
        <w:ind w:left="3760" w:leftChars="0" w:hanging="420" w:firstLineChars="0"/>
      </w:pPr>
      <w:rPr>
        <w:rFonts w:hint="default"/>
      </w:rPr>
    </w:lvl>
    <w:lvl w:ilvl="8" w:tentative="0">
      <w:start w:val="1"/>
      <w:numFmt w:val="lowerLetter"/>
      <w:lvlText w:val="%9."/>
      <w:lvlJc w:val="left"/>
      <w:pPr>
        <w:tabs>
          <w:tab w:val="left" w:pos="3780"/>
        </w:tabs>
        <w:ind w:left="4180" w:leftChars="0" w:hanging="420" w:firstLineChars="0"/>
      </w:pPr>
      <w:rPr>
        <w:rFonts w:hint="default"/>
      </w:rPr>
    </w:lvl>
  </w:abstractNum>
  <w:abstractNum w:abstractNumId="27">
    <w:nsid w:val="699B8C1F"/>
    <w:multiLevelType w:val="singleLevel"/>
    <w:tmpl w:val="699B8C1F"/>
    <w:lvl w:ilvl="0" w:tentative="0">
      <w:start w:val="1"/>
      <w:numFmt w:val="decimal"/>
      <w:lvlText w:val="%1)"/>
      <w:lvlJc w:val="left"/>
      <w:pPr>
        <w:ind w:left="425" w:hanging="425"/>
      </w:pPr>
      <w:rPr>
        <w:rFonts w:hint="default"/>
      </w:rPr>
    </w:lvl>
  </w:abstractNum>
  <w:abstractNum w:abstractNumId="28">
    <w:nsid w:val="6D80E8E0"/>
    <w:multiLevelType w:val="singleLevel"/>
    <w:tmpl w:val="6D80E8E0"/>
    <w:lvl w:ilvl="0" w:tentative="0">
      <w:start w:val="1"/>
      <w:numFmt w:val="decimal"/>
      <w:lvlText w:val="%1)"/>
      <w:lvlJc w:val="left"/>
      <w:pPr>
        <w:ind w:left="425" w:hanging="425"/>
      </w:pPr>
      <w:rPr>
        <w:rFonts w:hint="default"/>
      </w:rPr>
    </w:lvl>
  </w:abstractNum>
  <w:abstractNum w:abstractNumId="29">
    <w:nsid w:val="6DA708FD"/>
    <w:multiLevelType w:val="singleLevel"/>
    <w:tmpl w:val="6DA708FD"/>
    <w:lvl w:ilvl="0" w:tentative="0">
      <w:start w:val="1"/>
      <w:numFmt w:val="decimal"/>
      <w:lvlText w:val="%1)"/>
      <w:lvlJc w:val="left"/>
      <w:pPr>
        <w:ind w:left="425" w:hanging="425"/>
      </w:pPr>
      <w:rPr>
        <w:rFonts w:hint="default"/>
      </w:rPr>
    </w:lvl>
  </w:abstractNum>
  <w:abstractNum w:abstractNumId="30">
    <w:nsid w:val="73F26117"/>
    <w:multiLevelType w:val="multilevel"/>
    <w:tmpl w:val="73F26117"/>
    <w:lvl w:ilvl="0" w:tentative="0">
      <w:start w:val="1"/>
      <w:numFmt w:val="decimal"/>
      <w:pStyle w:val="319"/>
      <w:suff w:val="nothing"/>
      <w:lvlText w:val="%1 "/>
      <w:lvlJc w:val="left"/>
      <w:pPr>
        <w:ind w:left="0" w:firstLine="0"/>
      </w:pPr>
      <w:rPr>
        <w:rFonts w:hint="eastAsia" w:ascii="宋体" w:hAnsi="宋体" w:eastAsia="宋体"/>
        <w:b/>
        <w:color w:val="000000" w:themeColor="text1"/>
      </w:rPr>
    </w:lvl>
    <w:lvl w:ilvl="1" w:tentative="0">
      <w:start w:val="1"/>
      <w:numFmt w:val="decimal"/>
      <w:pStyle w:val="320"/>
      <w:suff w:val="nothing"/>
      <w:lvlText w:val="%1.%2 "/>
      <w:lvlJc w:val="left"/>
      <w:pPr>
        <w:ind w:left="1984" w:firstLine="0"/>
      </w:pPr>
      <w:rPr>
        <w:rFonts w:hint="eastAsia" w:ascii="宋体" w:hAnsi="宋体" w:eastAsia="宋体"/>
        <w:b/>
        <w:color w:val="000000" w:themeColor="text1"/>
      </w:rPr>
    </w:lvl>
    <w:lvl w:ilvl="2" w:tentative="0">
      <w:start w:val="1"/>
      <w:numFmt w:val="decimal"/>
      <w:pStyle w:val="321"/>
      <w:suff w:val="nothing"/>
      <w:lvlText w:val="%1.%2.%3 "/>
      <w:lvlJc w:val="left"/>
      <w:pPr>
        <w:ind w:left="3119" w:firstLine="0"/>
      </w:pPr>
      <w:rPr>
        <w:rFonts w:hint="eastAsia" w:ascii="宋体" w:hAnsi="宋体" w:eastAsia="宋体"/>
        <w:b/>
        <w:color w:val="000000" w:themeColor="text1"/>
      </w:rPr>
    </w:lvl>
    <w:lvl w:ilvl="3" w:tentative="0">
      <w:start w:val="1"/>
      <w:numFmt w:val="decimal"/>
      <w:pStyle w:val="323"/>
      <w:suff w:val="nothing"/>
      <w:lvlText w:val="%1.%2.%3.%4 "/>
      <w:lvlJc w:val="left"/>
      <w:pPr>
        <w:ind w:left="0" w:firstLine="0"/>
      </w:pPr>
      <w:rPr>
        <w:rFonts w:hint="eastAsia" w:ascii="宋体" w:hAnsi="宋体" w:eastAsia="宋体"/>
        <w:b/>
        <w:color w:val="000000" w:themeColor="text1"/>
      </w:rPr>
    </w:lvl>
    <w:lvl w:ilvl="4" w:tentative="0">
      <w:start w:val="1"/>
      <w:numFmt w:val="decimal"/>
      <w:pStyle w:val="314"/>
      <w:suff w:val="nothing"/>
      <w:lvlText w:val="(%5)"/>
      <w:lvlJc w:val="left"/>
      <w:pPr>
        <w:ind w:left="0" w:firstLine="0"/>
      </w:pPr>
      <w:rPr>
        <w:rFonts w:hint="eastAsia" w:ascii="宋体" w:hAnsi="宋体" w:eastAsia="宋体"/>
        <w:color w:val="000000" w:themeColor="text1"/>
      </w:rPr>
    </w:lvl>
    <w:lvl w:ilvl="5" w:tentative="0">
      <w:start w:val="1"/>
      <w:numFmt w:val="decimal"/>
      <w:pStyle w:val="315"/>
      <w:suff w:val="nothing"/>
      <w:lvlText w:val="%6)"/>
      <w:lvlJc w:val="left"/>
      <w:pPr>
        <w:ind w:left="993" w:firstLine="0"/>
      </w:pPr>
      <w:rPr>
        <w:rFonts w:hint="eastAsia" w:ascii="宋体" w:hAnsi="宋体" w:eastAsia="宋体"/>
        <w:color w:val="0000FF"/>
      </w:rPr>
    </w:lvl>
    <w:lvl w:ilvl="6" w:tentative="0">
      <w:start w:val="1"/>
      <w:numFmt w:val="lowerLetter"/>
      <w:pStyle w:val="316"/>
      <w:suff w:val="nothing"/>
      <w:lvlText w:val="%7."/>
      <w:lvlJc w:val="left"/>
      <w:pPr>
        <w:ind w:left="0" w:firstLine="0"/>
      </w:pPr>
      <w:rPr>
        <w:rFonts w:hint="eastAsia" w:ascii="宋体" w:hAnsi="宋体" w:eastAsia="宋体"/>
        <w:color w:val="0000FF"/>
      </w:rPr>
    </w:lvl>
    <w:lvl w:ilvl="7" w:tentative="0">
      <w:start w:val="1"/>
      <w:numFmt w:val="lowerLetter"/>
      <w:pStyle w:val="317"/>
      <w:suff w:val="nothing"/>
      <w:lvlText w:val="(%8)"/>
      <w:lvlJc w:val="left"/>
      <w:pPr>
        <w:ind w:left="0" w:firstLine="0"/>
      </w:pPr>
      <w:rPr>
        <w:rFonts w:hint="eastAsia" w:ascii="宋体" w:hAnsi="宋体" w:eastAsia="宋体"/>
        <w:color w:val="0000FF"/>
      </w:rPr>
    </w:lvl>
    <w:lvl w:ilvl="8" w:tentative="0">
      <w:start w:val="1"/>
      <w:numFmt w:val="lowerLetter"/>
      <w:pStyle w:val="318"/>
      <w:suff w:val="nothing"/>
      <w:lvlText w:val="%9)"/>
      <w:lvlJc w:val="left"/>
      <w:pPr>
        <w:ind w:left="0" w:firstLine="0"/>
      </w:pPr>
      <w:rPr>
        <w:rFonts w:hint="eastAsia" w:ascii="宋体" w:hAnsi="宋体" w:eastAsia="宋体"/>
        <w:color w:val="0000FF"/>
      </w:rPr>
    </w:lvl>
  </w:abstractNum>
  <w:num w:numId="1">
    <w:abstractNumId w:val="15"/>
  </w:num>
  <w:num w:numId="2">
    <w:abstractNumId w:val="17"/>
  </w:num>
  <w:num w:numId="3">
    <w:abstractNumId w:val="20"/>
  </w:num>
  <w:num w:numId="4">
    <w:abstractNumId w:val="21"/>
  </w:num>
  <w:num w:numId="5">
    <w:abstractNumId w:val="18"/>
  </w:num>
  <w:num w:numId="6">
    <w:abstractNumId w:val="14"/>
  </w:num>
  <w:num w:numId="7">
    <w:abstractNumId w:val="19"/>
  </w:num>
  <w:num w:numId="8">
    <w:abstractNumId w:val="16"/>
  </w:num>
  <w:num w:numId="9">
    <w:abstractNumId w:val="13"/>
  </w:num>
  <w:num w:numId="10">
    <w:abstractNumId w:val="12"/>
  </w:num>
  <w:num w:numId="11">
    <w:abstractNumId w:val="30"/>
  </w:num>
  <w:num w:numId="12">
    <w:abstractNumId w:val="3"/>
  </w:num>
  <w:num w:numId="13">
    <w:abstractNumId w:val="6"/>
  </w:num>
  <w:num w:numId="14">
    <w:abstractNumId w:val="4"/>
  </w:num>
  <w:num w:numId="15">
    <w:abstractNumId w:val="26"/>
  </w:num>
  <w:num w:numId="16">
    <w:abstractNumId w:val="7"/>
  </w:num>
  <w:num w:numId="17">
    <w:abstractNumId w:val="2"/>
  </w:num>
  <w:num w:numId="18">
    <w:abstractNumId w:val="10"/>
  </w:num>
  <w:num w:numId="19">
    <w:abstractNumId w:val="22"/>
  </w:num>
  <w:num w:numId="20">
    <w:abstractNumId w:val="25"/>
  </w:num>
  <w:num w:numId="21">
    <w:abstractNumId w:val="28"/>
  </w:num>
  <w:num w:numId="22">
    <w:abstractNumId w:val="11"/>
  </w:num>
  <w:num w:numId="23">
    <w:abstractNumId w:val="5"/>
  </w:num>
  <w:num w:numId="24">
    <w:abstractNumId w:val="27"/>
  </w:num>
  <w:num w:numId="25">
    <w:abstractNumId w:val="1"/>
  </w:num>
  <w:num w:numId="26">
    <w:abstractNumId w:val="8"/>
  </w:num>
  <w:num w:numId="27">
    <w:abstractNumId w:val="9"/>
  </w:num>
  <w:num w:numId="28">
    <w:abstractNumId w:val="0"/>
  </w:num>
  <w:num w:numId="29">
    <w:abstractNumId w:val="29"/>
  </w:num>
  <w:num w:numId="30">
    <w:abstractNumId w:val="24"/>
  </w:num>
  <w:num w:numId="3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hideSpellingErrors/>
  <w:documentProtection w:enforcement="0"/>
  <w:defaultTabStop w:val="420"/>
  <w:drawingGridHorizontalSpacing w:val="120"/>
  <w:drawingGridVerticalSpacing w:val="163"/>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MDNiZDY4M2E0NDYwMTg3MzY3ZjJkYTQ3NWIwOTQzN2QifQ=="/>
  </w:docVars>
  <w:rsids>
    <w:rsidRoot w:val="00172A27"/>
    <w:rsid w:val="00001395"/>
    <w:rsid w:val="000018BB"/>
    <w:rsid w:val="00002CAA"/>
    <w:rsid w:val="00004FCC"/>
    <w:rsid w:val="000054D5"/>
    <w:rsid w:val="00005EC6"/>
    <w:rsid w:val="000102F3"/>
    <w:rsid w:val="00010B2D"/>
    <w:rsid w:val="00011427"/>
    <w:rsid w:val="00011CF3"/>
    <w:rsid w:val="00012DDA"/>
    <w:rsid w:val="0001333E"/>
    <w:rsid w:val="000133B2"/>
    <w:rsid w:val="00016456"/>
    <w:rsid w:val="000164AE"/>
    <w:rsid w:val="0001734F"/>
    <w:rsid w:val="00017DE0"/>
    <w:rsid w:val="000246EE"/>
    <w:rsid w:val="00024E93"/>
    <w:rsid w:val="000266C4"/>
    <w:rsid w:val="0002724D"/>
    <w:rsid w:val="0003132A"/>
    <w:rsid w:val="00032C95"/>
    <w:rsid w:val="00033E4A"/>
    <w:rsid w:val="000407AB"/>
    <w:rsid w:val="00044B77"/>
    <w:rsid w:val="0004568D"/>
    <w:rsid w:val="00045FE5"/>
    <w:rsid w:val="00047E77"/>
    <w:rsid w:val="0005347A"/>
    <w:rsid w:val="00054092"/>
    <w:rsid w:val="000548CB"/>
    <w:rsid w:val="00054C14"/>
    <w:rsid w:val="00055D33"/>
    <w:rsid w:val="0006138F"/>
    <w:rsid w:val="00063B98"/>
    <w:rsid w:val="00065C4C"/>
    <w:rsid w:val="00066DA2"/>
    <w:rsid w:val="000714F7"/>
    <w:rsid w:val="00075CE8"/>
    <w:rsid w:val="00081D68"/>
    <w:rsid w:val="00086112"/>
    <w:rsid w:val="000865CE"/>
    <w:rsid w:val="00092C86"/>
    <w:rsid w:val="00095064"/>
    <w:rsid w:val="000963D2"/>
    <w:rsid w:val="000A70DE"/>
    <w:rsid w:val="000A78CF"/>
    <w:rsid w:val="000B5D29"/>
    <w:rsid w:val="000B7BA8"/>
    <w:rsid w:val="000C0731"/>
    <w:rsid w:val="000C0B33"/>
    <w:rsid w:val="000C3FD5"/>
    <w:rsid w:val="000C767B"/>
    <w:rsid w:val="000D0C27"/>
    <w:rsid w:val="000D0E2C"/>
    <w:rsid w:val="000D1676"/>
    <w:rsid w:val="000D2791"/>
    <w:rsid w:val="000D3521"/>
    <w:rsid w:val="000D5543"/>
    <w:rsid w:val="000D5619"/>
    <w:rsid w:val="000E300E"/>
    <w:rsid w:val="000E36AB"/>
    <w:rsid w:val="000E54C9"/>
    <w:rsid w:val="000E61B5"/>
    <w:rsid w:val="000E6981"/>
    <w:rsid w:val="000E7F0A"/>
    <w:rsid w:val="000F061B"/>
    <w:rsid w:val="000F0C63"/>
    <w:rsid w:val="000F2EC4"/>
    <w:rsid w:val="000F4D1F"/>
    <w:rsid w:val="000F62CC"/>
    <w:rsid w:val="00101236"/>
    <w:rsid w:val="001019A1"/>
    <w:rsid w:val="00103A9C"/>
    <w:rsid w:val="00103BF4"/>
    <w:rsid w:val="00103ED2"/>
    <w:rsid w:val="00112649"/>
    <w:rsid w:val="00113CA1"/>
    <w:rsid w:val="001157E1"/>
    <w:rsid w:val="00117D72"/>
    <w:rsid w:val="00117E06"/>
    <w:rsid w:val="001206AB"/>
    <w:rsid w:val="0012234C"/>
    <w:rsid w:val="001231D5"/>
    <w:rsid w:val="001234C7"/>
    <w:rsid w:val="00123907"/>
    <w:rsid w:val="0012482F"/>
    <w:rsid w:val="00125421"/>
    <w:rsid w:val="00125552"/>
    <w:rsid w:val="001262C1"/>
    <w:rsid w:val="001278C5"/>
    <w:rsid w:val="0013072F"/>
    <w:rsid w:val="00131789"/>
    <w:rsid w:val="00132DC2"/>
    <w:rsid w:val="00133B08"/>
    <w:rsid w:val="001371E2"/>
    <w:rsid w:val="00137481"/>
    <w:rsid w:val="00141DEA"/>
    <w:rsid w:val="00142E92"/>
    <w:rsid w:val="00143B7F"/>
    <w:rsid w:val="00143BEC"/>
    <w:rsid w:val="0014422D"/>
    <w:rsid w:val="00146F4F"/>
    <w:rsid w:val="00147D52"/>
    <w:rsid w:val="001512AD"/>
    <w:rsid w:val="00152234"/>
    <w:rsid w:val="00154186"/>
    <w:rsid w:val="0015520F"/>
    <w:rsid w:val="00155D31"/>
    <w:rsid w:val="00156050"/>
    <w:rsid w:val="00156140"/>
    <w:rsid w:val="0015638E"/>
    <w:rsid w:val="0016330E"/>
    <w:rsid w:val="00163A72"/>
    <w:rsid w:val="00163F3E"/>
    <w:rsid w:val="001659D7"/>
    <w:rsid w:val="0016600B"/>
    <w:rsid w:val="00166AB4"/>
    <w:rsid w:val="001674CC"/>
    <w:rsid w:val="001735A3"/>
    <w:rsid w:val="0017406D"/>
    <w:rsid w:val="00174122"/>
    <w:rsid w:val="00175A09"/>
    <w:rsid w:val="00177B7C"/>
    <w:rsid w:val="00180E9E"/>
    <w:rsid w:val="00182B7A"/>
    <w:rsid w:val="00184111"/>
    <w:rsid w:val="00184A86"/>
    <w:rsid w:val="00186BF0"/>
    <w:rsid w:val="00186C6B"/>
    <w:rsid w:val="00186E11"/>
    <w:rsid w:val="00191C93"/>
    <w:rsid w:val="00191C9D"/>
    <w:rsid w:val="00191DE0"/>
    <w:rsid w:val="001922A2"/>
    <w:rsid w:val="00192461"/>
    <w:rsid w:val="00193C1D"/>
    <w:rsid w:val="00194561"/>
    <w:rsid w:val="001947A3"/>
    <w:rsid w:val="00196F22"/>
    <w:rsid w:val="001A1526"/>
    <w:rsid w:val="001A712B"/>
    <w:rsid w:val="001B36B7"/>
    <w:rsid w:val="001B3B81"/>
    <w:rsid w:val="001B3C17"/>
    <w:rsid w:val="001B5283"/>
    <w:rsid w:val="001C0C43"/>
    <w:rsid w:val="001C191E"/>
    <w:rsid w:val="001C25A8"/>
    <w:rsid w:val="001C4B79"/>
    <w:rsid w:val="001C4FAE"/>
    <w:rsid w:val="001C521C"/>
    <w:rsid w:val="001C7627"/>
    <w:rsid w:val="001D3F08"/>
    <w:rsid w:val="001D56E4"/>
    <w:rsid w:val="001D59A6"/>
    <w:rsid w:val="001D7A51"/>
    <w:rsid w:val="001D7ABC"/>
    <w:rsid w:val="001E2007"/>
    <w:rsid w:val="001E2DA5"/>
    <w:rsid w:val="001E590B"/>
    <w:rsid w:val="001E76F3"/>
    <w:rsid w:val="001F176C"/>
    <w:rsid w:val="001F33E5"/>
    <w:rsid w:val="001F394A"/>
    <w:rsid w:val="001F7A80"/>
    <w:rsid w:val="00201FAD"/>
    <w:rsid w:val="00202090"/>
    <w:rsid w:val="00203200"/>
    <w:rsid w:val="00206889"/>
    <w:rsid w:val="0020735A"/>
    <w:rsid w:val="00207483"/>
    <w:rsid w:val="002074F3"/>
    <w:rsid w:val="002115AA"/>
    <w:rsid w:val="00211AE5"/>
    <w:rsid w:val="00211D62"/>
    <w:rsid w:val="00213468"/>
    <w:rsid w:val="0022159B"/>
    <w:rsid w:val="00221C7D"/>
    <w:rsid w:val="00223F19"/>
    <w:rsid w:val="00225B18"/>
    <w:rsid w:val="00226838"/>
    <w:rsid w:val="00227AB4"/>
    <w:rsid w:val="00227B7C"/>
    <w:rsid w:val="00230143"/>
    <w:rsid w:val="00230C85"/>
    <w:rsid w:val="00231D82"/>
    <w:rsid w:val="00231E04"/>
    <w:rsid w:val="00232D46"/>
    <w:rsid w:val="002336B7"/>
    <w:rsid w:val="00236283"/>
    <w:rsid w:val="00236ACE"/>
    <w:rsid w:val="00236C56"/>
    <w:rsid w:val="00237E74"/>
    <w:rsid w:val="00243514"/>
    <w:rsid w:val="00244734"/>
    <w:rsid w:val="00247A24"/>
    <w:rsid w:val="0025004C"/>
    <w:rsid w:val="00256DCD"/>
    <w:rsid w:val="00260941"/>
    <w:rsid w:val="002630B6"/>
    <w:rsid w:val="00264FF8"/>
    <w:rsid w:val="00267A9C"/>
    <w:rsid w:val="0027016B"/>
    <w:rsid w:val="002712B0"/>
    <w:rsid w:val="00271652"/>
    <w:rsid w:val="00272AB5"/>
    <w:rsid w:val="00273C56"/>
    <w:rsid w:val="00274177"/>
    <w:rsid w:val="00275E7E"/>
    <w:rsid w:val="0027790C"/>
    <w:rsid w:val="00280A52"/>
    <w:rsid w:val="0028164E"/>
    <w:rsid w:val="00283CC3"/>
    <w:rsid w:val="0028480B"/>
    <w:rsid w:val="00285B06"/>
    <w:rsid w:val="00285B12"/>
    <w:rsid w:val="00287433"/>
    <w:rsid w:val="00290035"/>
    <w:rsid w:val="0029196E"/>
    <w:rsid w:val="00291BD3"/>
    <w:rsid w:val="00291E0F"/>
    <w:rsid w:val="0029204E"/>
    <w:rsid w:val="002928B2"/>
    <w:rsid w:val="00293B45"/>
    <w:rsid w:val="00294B91"/>
    <w:rsid w:val="002950B5"/>
    <w:rsid w:val="002A115D"/>
    <w:rsid w:val="002A291C"/>
    <w:rsid w:val="002A3791"/>
    <w:rsid w:val="002A581B"/>
    <w:rsid w:val="002B04FC"/>
    <w:rsid w:val="002B0A8F"/>
    <w:rsid w:val="002B1170"/>
    <w:rsid w:val="002B19A8"/>
    <w:rsid w:val="002B22D7"/>
    <w:rsid w:val="002B2AA4"/>
    <w:rsid w:val="002B3994"/>
    <w:rsid w:val="002B5DCD"/>
    <w:rsid w:val="002B5F14"/>
    <w:rsid w:val="002B69CC"/>
    <w:rsid w:val="002C004B"/>
    <w:rsid w:val="002C11D2"/>
    <w:rsid w:val="002C2790"/>
    <w:rsid w:val="002C4C61"/>
    <w:rsid w:val="002C6344"/>
    <w:rsid w:val="002D303E"/>
    <w:rsid w:val="002D6A79"/>
    <w:rsid w:val="002D7083"/>
    <w:rsid w:val="002E44E9"/>
    <w:rsid w:val="002E5F00"/>
    <w:rsid w:val="002E6617"/>
    <w:rsid w:val="002F0A79"/>
    <w:rsid w:val="002F0FC7"/>
    <w:rsid w:val="002F3BB0"/>
    <w:rsid w:val="002F4112"/>
    <w:rsid w:val="002F7092"/>
    <w:rsid w:val="002F7E07"/>
    <w:rsid w:val="00301C6D"/>
    <w:rsid w:val="00302C52"/>
    <w:rsid w:val="003041B4"/>
    <w:rsid w:val="0030446D"/>
    <w:rsid w:val="00310070"/>
    <w:rsid w:val="00311158"/>
    <w:rsid w:val="00311B6B"/>
    <w:rsid w:val="003129CE"/>
    <w:rsid w:val="00315905"/>
    <w:rsid w:val="0031626F"/>
    <w:rsid w:val="0031702F"/>
    <w:rsid w:val="00320748"/>
    <w:rsid w:val="00323892"/>
    <w:rsid w:val="0032696C"/>
    <w:rsid w:val="00330966"/>
    <w:rsid w:val="0033208D"/>
    <w:rsid w:val="00332C22"/>
    <w:rsid w:val="003357D8"/>
    <w:rsid w:val="00336140"/>
    <w:rsid w:val="00340315"/>
    <w:rsid w:val="00342CCD"/>
    <w:rsid w:val="00343420"/>
    <w:rsid w:val="0034511A"/>
    <w:rsid w:val="0034512D"/>
    <w:rsid w:val="00346758"/>
    <w:rsid w:val="003473F0"/>
    <w:rsid w:val="00347A54"/>
    <w:rsid w:val="00350655"/>
    <w:rsid w:val="00352E5A"/>
    <w:rsid w:val="0035395F"/>
    <w:rsid w:val="00355778"/>
    <w:rsid w:val="003610CB"/>
    <w:rsid w:val="00362104"/>
    <w:rsid w:val="00362F09"/>
    <w:rsid w:val="003644DA"/>
    <w:rsid w:val="003650D0"/>
    <w:rsid w:val="00365893"/>
    <w:rsid w:val="0036763A"/>
    <w:rsid w:val="00370207"/>
    <w:rsid w:val="00370AD8"/>
    <w:rsid w:val="00371572"/>
    <w:rsid w:val="003722B2"/>
    <w:rsid w:val="00373E19"/>
    <w:rsid w:val="00375F63"/>
    <w:rsid w:val="00383E0D"/>
    <w:rsid w:val="0038423F"/>
    <w:rsid w:val="0038660F"/>
    <w:rsid w:val="0038690D"/>
    <w:rsid w:val="00386D80"/>
    <w:rsid w:val="0039013D"/>
    <w:rsid w:val="00390B20"/>
    <w:rsid w:val="00393247"/>
    <w:rsid w:val="00394DB7"/>
    <w:rsid w:val="00394E53"/>
    <w:rsid w:val="003967EE"/>
    <w:rsid w:val="003A035C"/>
    <w:rsid w:val="003A3352"/>
    <w:rsid w:val="003A513C"/>
    <w:rsid w:val="003A6465"/>
    <w:rsid w:val="003A690D"/>
    <w:rsid w:val="003A790E"/>
    <w:rsid w:val="003B11C2"/>
    <w:rsid w:val="003B1755"/>
    <w:rsid w:val="003B5432"/>
    <w:rsid w:val="003C0127"/>
    <w:rsid w:val="003C105E"/>
    <w:rsid w:val="003C235F"/>
    <w:rsid w:val="003C62C0"/>
    <w:rsid w:val="003D01A2"/>
    <w:rsid w:val="003D2518"/>
    <w:rsid w:val="003D2BB6"/>
    <w:rsid w:val="003D3603"/>
    <w:rsid w:val="003D40D5"/>
    <w:rsid w:val="003D4AA4"/>
    <w:rsid w:val="003D5BA9"/>
    <w:rsid w:val="003D5CC0"/>
    <w:rsid w:val="003D7FB2"/>
    <w:rsid w:val="003E087E"/>
    <w:rsid w:val="003E0D81"/>
    <w:rsid w:val="003E1891"/>
    <w:rsid w:val="003E2C3E"/>
    <w:rsid w:val="003E5955"/>
    <w:rsid w:val="003E70A8"/>
    <w:rsid w:val="003E753E"/>
    <w:rsid w:val="003E758D"/>
    <w:rsid w:val="003F0FEF"/>
    <w:rsid w:val="003F28CC"/>
    <w:rsid w:val="003F3525"/>
    <w:rsid w:val="003F46F0"/>
    <w:rsid w:val="003F68C5"/>
    <w:rsid w:val="003F725C"/>
    <w:rsid w:val="003F767B"/>
    <w:rsid w:val="00403469"/>
    <w:rsid w:val="004052DF"/>
    <w:rsid w:val="00405D3C"/>
    <w:rsid w:val="00407660"/>
    <w:rsid w:val="00410C64"/>
    <w:rsid w:val="004128F8"/>
    <w:rsid w:val="00415EFE"/>
    <w:rsid w:val="00417ECA"/>
    <w:rsid w:val="00424498"/>
    <w:rsid w:val="00430080"/>
    <w:rsid w:val="00430608"/>
    <w:rsid w:val="00431E1B"/>
    <w:rsid w:val="00432B89"/>
    <w:rsid w:val="00434E2E"/>
    <w:rsid w:val="0043714A"/>
    <w:rsid w:val="00437B98"/>
    <w:rsid w:val="0044019C"/>
    <w:rsid w:val="004403CD"/>
    <w:rsid w:val="0044041B"/>
    <w:rsid w:val="00440ECF"/>
    <w:rsid w:val="00441816"/>
    <w:rsid w:val="00445128"/>
    <w:rsid w:val="0045327C"/>
    <w:rsid w:val="0045419A"/>
    <w:rsid w:val="004550B3"/>
    <w:rsid w:val="004579DE"/>
    <w:rsid w:val="00464F30"/>
    <w:rsid w:val="0046550B"/>
    <w:rsid w:val="00467B34"/>
    <w:rsid w:val="00470F8F"/>
    <w:rsid w:val="004720D6"/>
    <w:rsid w:val="0047357A"/>
    <w:rsid w:val="00475386"/>
    <w:rsid w:val="004815D9"/>
    <w:rsid w:val="00481AAF"/>
    <w:rsid w:val="0048202A"/>
    <w:rsid w:val="004834E0"/>
    <w:rsid w:val="004837E6"/>
    <w:rsid w:val="00483B9B"/>
    <w:rsid w:val="00484A63"/>
    <w:rsid w:val="00484BD5"/>
    <w:rsid w:val="004854A8"/>
    <w:rsid w:val="00487496"/>
    <w:rsid w:val="00487CDC"/>
    <w:rsid w:val="0049060F"/>
    <w:rsid w:val="0049074E"/>
    <w:rsid w:val="00491FDA"/>
    <w:rsid w:val="00492647"/>
    <w:rsid w:val="004932C9"/>
    <w:rsid w:val="004944ED"/>
    <w:rsid w:val="0049526F"/>
    <w:rsid w:val="00497512"/>
    <w:rsid w:val="004A15CA"/>
    <w:rsid w:val="004A1F95"/>
    <w:rsid w:val="004A4B8C"/>
    <w:rsid w:val="004A7AA0"/>
    <w:rsid w:val="004B23DF"/>
    <w:rsid w:val="004B25B8"/>
    <w:rsid w:val="004B5416"/>
    <w:rsid w:val="004B54ED"/>
    <w:rsid w:val="004B580B"/>
    <w:rsid w:val="004B6387"/>
    <w:rsid w:val="004B758D"/>
    <w:rsid w:val="004C161C"/>
    <w:rsid w:val="004C1EC1"/>
    <w:rsid w:val="004C5284"/>
    <w:rsid w:val="004C61DF"/>
    <w:rsid w:val="004D1C81"/>
    <w:rsid w:val="004D1DC9"/>
    <w:rsid w:val="004D28DC"/>
    <w:rsid w:val="004D2F3D"/>
    <w:rsid w:val="004D77DB"/>
    <w:rsid w:val="004D7B9B"/>
    <w:rsid w:val="004D7E3C"/>
    <w:rsid w:val="004E293B"/>
    <w:rsid w:val="004E35D9"/>
    <w:rsid w:val="004E51B7"/>
    <w:rsid w:val="004E573C"/>
    <w:rsid w:val="004E60AF"/>
    <w:rsid w:val="004E6407"/>
    <w:rsid w:val="004E6B4A"/>
    <w:rsid w:val="004F2B6D"/>
    <w:rsid w:val="004F74D7"/>
    <w:rsid w:val="005003AF"/>
    <w:rsid w:val="005050AF"/>
    <w:rsid w:val="005058D2"/>
    <w:rsid w:val="00506D03"/>
    <w:rsid w:val="00507340"/>
    <w:rsid w:val="00507B53"/>
    <w:rsid w:val="005115D2"/>
    <w:rsid w:val="005140A1"/>
    <w:rsid w:val="00515EF8"/>
    <w:rsid w:val="00517EE0"/>
    <w:rsid w:val="00521320"/>
    <w:rsid w:val="00521500"/>
    <w:rsid w:val="005229B2"/>
    <w:rsid w:val="005251EB"/>
    <w:rsid w:val="00525259"/>
    <w:rsid w:val="0052547A"/>
    <w:rsid w:val="0053186E"/>
    <w:rsid w:val="00531ACD"/>
    <w:rsid w:val="00534263"/>
    <w:rsid w:val="005346A8"/>
    <w:rsid w:val="00540581"/>
    <w:rsid w:val="00540935"/>
    <w:rsid w:val="00542A87"/>
    <w:rsid w:val="0054385D"/>
    <w:rsid w:val="00546B81"/>
    <w:rsid w:val="00547E80"/>
    <w:rsid w:val="005542CF"/>
    <w:rsid w:val="005610FE"/>
    <w:rsid w:val="00562EA5"/>
    <w:rsid w:val="00565C67"/>
    <w:rsid w:val="0056723E"/>
    <w:rsid w:val="00571E77"/>
    <w:rsid w:val="00573DB0"/>
    <w:rsid w:val="00575650"/>
    <w:rsid w:val="00576F83"/>
    <w:rsid w:val="0058184B"/>
    <w:rsid w:val="00582675"/>
    <w:rsid w:val="005826C7"/>
    <w:rsid w:val="00583A7E"/>
    <w:rsid w:val="0058523E"/>
    <w:rsid w:val="00595F3D"/>
    <w:rsid w:val="005A0519"/>
    <w:rsid w:val="005A0EAC"/>
    <w:rsid w:val="005A2F40"/>
    <w:rsid w:val="005A4932"/>
    <w:rsid w:val="005A5280"/>
    <w:rsid w:val="005A5532"/>
    <w:rsid w:val="005A576A"/>
    <w:rsid w:val="005A6A94"/>
    <w:rsid w:val="005A7077"/>
    <w:rsid w:val="005B529D"/>
    <w:rsid w:val="005B64EB"/>
    <w:rsid w:val="005C0919"/>
    <w:rsid w:val="005C1118"/>
    <w:rsid w:val="005C134E"/>
    <w:rsid w:val="005C1A55"/>
    <w:rsid w:val="005C1D0A"/>
    <w:rsid w:val="005C4107"/>
    <w:rsid w:val="005C5DE4"/>
    <w:rsid w:val="005C6957"/>
    <w:rsid w:val="005C76DA"/>
    <w:rsid w:val="005D09CD"/>
    <w:rsid w:val="005D5E21"/>
    <w:rsid w:val="005D6C14"/>
    <w:rsid w:val="005D7E5A"/>
    <w:rsid w:val="005E10A9"/>
    <w:rsid w:val="005E1C4B"/>
    <w:rsid w:val="005E30C4"/>
    <w:rsid w:val="005E3D79"/>
    <w:rsid w:val="005E423A"/>
    <w:rsid w:val="005E6ABE"/>
    <w:rsid w:val="005F04F8"/>
    <w:rsid w:val="005F391B"/>
    <w:rsid w:val="005F3B04"/>
    <w:rsid w:val="005F47B6"/>
    <w:rsid w:val="005F48D8"/>
    <w:rsid w:val="005F4C0C"/>
    <w:rsid w:val="005F72F0"/>
    <w:rsid w:val="005F76B3"/>
    <w:rsid w:val="00600AE9"/>
    <w:rsid w:val="006016BB"/>
    <w:rsid w:val="00602B0E"/>
    <w:rsid w:val="00603EC0"/>
    <w:rsid w:val="00605F14"/>
    <w:rsid w:val="00605F1C"/>
    <w:rsid w:val="006106F6"/>
    <w:rsid w:val="0061162F"/>
    <w:rsid w:val="006121FB"/>
    <w:rsid w:val="0061571F"/>
    <w:rsid w:val="006158ED"/>
    <w:rsid w:val="00621499"/>
    <w:rsid w:val="0062382F"/>
    <w:rsid w:val="00623FB4"/>
    <w:rsid w:val="0062448E"/>
    <w:rsid w:val="00625564"/>
    <w:rsid w:val="00625F5E"/>
    <w:rsid w:val="00632B00"/>
    <w:rsid w:val="00635F0C"/>
    <w:rsid w:val="006369A2"/>
    <w:rsid w:val="00636AFA"/>
    <w:rsid w:val="00636B73"/>
    <w:rsid w:val="00636FDC"/>
    <w:rsid w:val="0063749B"/>
    <w:rsid w:val="00641C9A"/>
    <w:rsid w:val="0064408D"/>
    <w:rsid w:val="00647844"/>
    <w:rsid w:val="00647E4F"/>
    <w:rsid w:val="00652C69"/>
    <w:rsid w:val="00662810"/>
    <w:rsid w:val="00662A23"/>
    <w:rsid w:val="00662D9C"/>
    <w:rsid w:val="006649AB"/>
    <w:rsid w:val="00664B5A"/>
    <w:rsid w:val="00664D48"/>
    <w:rsid w:val="00664F4C"/>
    <w:rsid w:val="00665421"/>
    <w:rsid w:val="0067076B"/>
    <w:rsid w:val="00670788"/>
    <w:rsid w:val="00672341"/>
    <w:rsid w:val="00673149"/>
    <w:rsid w:val="006743CC"/>
    <w:rsid w:val="00675F68"/>
    <w:rsid w:val="006779E2"/>
    <w:rsid w:val="00677BA5"/>
    <w:rsid w:val="0068269F"/>
    <w:rsid w:val="006845B9"/>
    <w:rsid w:val="006876FE"/>
    <w:rsid w:val="00687F83"/>
    <w:rsid w:val="0069039C"/>
    <w:rsid w:val="006903CE"/>
    <w:rsid w:val="00691250"/>
    <w:rsid w:val="00693892"/>
    <w:rsid w:val="0069414B"/>
    <w:rsid w:val="00694FCC"/>
    <w:rsid w:val="006A04D3"/>
    <w:rsid w:val="006A08EC"/>
    <w:rsid w:val="006A1EB7"/>
    <w:rsid w:val="006A4871"/>
    <w:rsid w:val="006A48FC"/>
    <w:rsid w:val="006A514D"/>
    <w:rsid w:val="006B0E6A"/>
    <w:rsid w:val="006B365E"/>
    <w:rsid w:val="006B44E7"/>
    <w:rsid w:val="006B60B7"/>
    <w:rsid w:val="006B7A34"/>
    <w:rsid w:val="006C404D"/>
    <w:rsid w:val="006C4401"/>
    <w:rsid w:val="006C46A4"/>
    <w:rsid w:val="006C4CCE"/>
    <w:rsid w:val="006C5B3B"/>
    <w:rsid w:val="006C5F73"/>
    <w:rsid w:val="006C674B"/>
    <w:rsid w:val="006C7AD0"/>
    <w:rsid w:val="006D12C6"/>
    <w:rsid w:val="006D2777"/>
    <w:rsid w:val="006D4B59"/>
    <w:rsid w:val="006D5CD1"/>
    <w:rsid w:val="006D6342"/>
    <w:rsid w:val="006D65EF"/>
    <w:rsid w:val="006E1660"/>
    <w:rsid w:val="006E512A"/>
    <w:rsid w:val="006E59F2"/>
    <w:rsid w:val="006F35F3"/>
    <w:rsid w:val="006F49E3"/>
    <w:rsid w:val="006F5794"/>
    <w:rsid w:val="006F5F37"/>
    <w:rsid w:val="006F61E0"/>
    <w:rsid w:val="006F686B"/>
    <w:rsid w:val="00701239"/>
    <w:rsid w:val="00702D8E"/>
    <w:rsid w:val="00703151"/>
    <w:rsid w:val="00706AFF"/>
    <w:rsid w:val="0070787C"/>
    <w:rsid w:val="0071172D"/>
    <w:rsid w:val="00712C5D"/>
    <w:rsid w:val="00714225"/>
    <w:rsid w:val="00714442"/>
    <w:rsid w:val="00717F45"/>
    <w:rsid w:val="00721829"/>
    <w:rsid w:val="00722981"/>
    <w:rsid w:val="0072475D"/>
    <w:rsid w:val="007247E9"/>
    <w:rsid w:val="00725DE3"/>
    <w:rsid w:val="00734A9C"/>
    <w:rsid w:val="00737337"/>
    <w:rsid w:val="007376A1"/>
    <w:rsid w:val="00741F66"/>
    <w:rsid w:val="007426CD"/>
    <w:rsid w:val="0074314F"/>
    <w:rsid w:val="007437FF"/>
    <w:rsid w:val="00745BBA"/>
    <w:rsid w:val="00747C3F"/>
    <w:rsid w:val="007501AF"/>
    <w:rsid w:val="007501DB"/>
    <w:rsid w:val="007525C8"/>
    <w:rsid w:val="0075392A"/>
    <w:rsid w:val="0075449C"/>
    <w:rsid w:val="00756BA4"/>
    <w:rsid w:val="007572CC"/>
    <w:rsid w:val="00760E08"/>
    <w:rsid w:val="00762758"/>
    <w:rsid w:val="00763D25"/>
    <w:rsid w:val="007653F7"/>
    <w:rsid w:val="007702F1"/>
    <w:rsid w:val="0077109A"/>
    <w:rsid w:val="00771770"/>
    <w:rsid w:val="00771966"/>
    <w:rsid w:val="00771CE3"/>
    <w:rsid w:val="00772CB9"/>
    <w:rsid w:val="00774BCD"/>
    <w:rsid w:val="0077558A"/>
    <w:rsid w:val="00776BFF"/>
    <w:rsid w:val="00782461"/>
    <w:rsid w:val="0078308B"/>
    <w:rsid w:val="00784DB1"/>
    <w:rsid w:val="007861B7"/>
    <w:rsid w:val="00787395"/>
    <w:rsid w:val="007876D4"/>
    <w:rsid w:val="00787866"/>
    <w:rsid w:val="00790112"/>
    <w:rsid w:val="00790E80"/>
    <w:rsid w:val="007936E9"/>
    <w:rsid w:val="007939D4"/>
    <w:rsid w:val="00794666"/>
    <w:rsid w:val="007950D2"/>
    <w:rsid w:val="0079565F"/>
    <w:rsid w:val="00795B73"/>
    <w:rsid w:val="007972CD"/>
    <w:rsid w:val="00797B0E"/>
    <w:rsid w:val="007A238B"/>
    <w:rsid w:val="007A416D"/>
    <w:rsid w:val="007A4978"/>
    <w:rsid w:val="007A700A"/>
    <w:rsid w:val="007A783C"/>
    <w:rsid w:val="007A7C31"/>
    <w:rsid w:val="007B4B6C"/>
    <w:rsid w:val="007B59C0"/>
    <w:rsid w:val="007B5CE7"/>
    <w:rsid w:val="007B5DFC"/>
    <w:rsid w:val="007C0A6C"/>
    <w:rsid w:val="007C2DDC"/>
    <w:rsid w:val="007C3D9D"/>
    <w:rsid w:val="007C4606"/>
    <w:rsid w:val="007C7215"/>
    <w:rsid w:val="007D0B5C"/>
    <w:rsid w:val="007D0D5E"/>
    <w:rsid w:val="007D37D9"/>
    <w:rsid w:val="007D3B30"/>
    <w:rsid w:val="007D4AC2"/>
    <w:rsid w:val="007D5F93"/>
    <w:rsid w:val="007D6D92"/>
    <w:rsid w:val="007D7A9F"/>
    <w:rsid w:val="007E122B"/>
    <w:rsid w:val="007E3055"/>
    <w:rsid w:val="007E442A"/>
    <w:rsid w:val="007E4885"/>
    <w:rsid w:val="007E565E"/>
    <w:rsid w:val="007E744F"/>
    <w:rsid w:val="007F21BC"/>
    <w:rsid w:val="007F3535"/>
    <w:rsid w:val="007F3A0C"/>
    <w:rsid w:val="007F52FD"/>
    <w:rsid w:val="007F5850"/>
    <w:rsid w:val="007F5DA6"/>
    <w:rsid w:val="007F668B"/>
    <w:rsid w:val="007F6D86"/>
    <w:rsid w:val="00801B5D"/>
    <w:rsid w:val="00806B30"/>
    <w:rsid w:val="00807134"/>
    <w:rsid w:val="00807410"/>
    <w:rsid w:val="0080742B"/>
    <w:rsid w:val="0081219A"/>
    <w:rsid w:val="008141A1"/>
    <w:rsid w:val="008144F4"/>
    <w:rsid w:val="008177CD"/>
    <w:rsid w:val="00820700"/>
    <w:rsid w:val="00822D39"/>
    <w:rsid w:val="008234F8"/>
    <w:rsid w:val="00823CB2"/>
    <w:rsid w:val="00824470"/>
    <w:rsid w:val="0082694C"/>
    <w:rsid w:val="00836689"/>
    <w:rsid w:val="008400C7"/>
    <w:rsid w:val="008407AA"/>
    <w:rsid w:val="00840B3E"/>
    <w:rsid w:val="00841267"/>
    <w:rsid w:val="00842AB1"/>
    <w:rsid w:val="00842C30"/>
    <w:rsid w:val="00845246"/>
    <w:rsid w:val="008459DD"/>
    <w:rsid w:val="00845D29"/>
    <w:rsid w:val="00847AAD"/>
    <w:rsid w:val="00851923"/>
    <w:rsid w:val="00852E34"/>
    <w:rsid w:val="008535AC"/>
    <w:rsid w:val="00853D31"/>
    <w:rsid w:val="00856CEA"/>
    <w:rsid w:val="00857554"/>
    <w:rsid w:val="00860D3A"/>
    <w:rsid w:val="00867488"/>
    <w:rsid w:val="00870A6F"/>
    <w:rsid w:val="00870E2E"/>
    <w:rsid w:val="008714D3"/>
    <w:rsid w:val="00874E4D"/>
    <w:rsid w:val="00877FD2"/>
    <w:rsid w:val="00880970"/>
    <w:rsid w:val="00880B80"/>
    <w:rsid w:val="008818F2"/>
    <w:rsid w:val="008820F2"/>
    <w:rsid w:val="008834BA"/>
    <w:rsid w:val="00883561"/>
    <w:rsid w:val="00884F1D"/>
    <w:rsid w:val="00885894"/>
    <w:rsid w:val="00885DA9"/>
    <w:rsid w:val="00885FDF"/>
    <w:rsid w:val="0089003C"/>
    <w:rsid w:val="0089029A"/>
    <w:rsid w:val="00891243"/>
    <w:rsid w:val="00892233"/>
    <w:rsid w:val="00896D5B"/>
    <w:rsid w:val="0089709E"/>
    <w:rsid w:val="00897C33"/>
    <w:rsid w:val="008A00D8"/>
    <w:rsid w:val="008A073E"/>
    <w:rsid w:val="008A0BFB"/>
    <w:rsid w:val="008A0C61"/>
    <w:rsid w:val="008A579F"/>
    <w:rsid w:val="008A5B44"/>
    <w:rsid w:val="008A70BE"/>
    <w:rsid w:val="008B2A70"/>
    <w:rsid w:val="008B30B0"/>
    <w:rsid w:val="008B30E8"/>
    <w:rsid w:val="008B4ACB"/>
    <w:rsid w:val="008B564D"/>
    <w:rsid w:val="008B5911"/>
    <w:rsid w:val="008B6C37"/>
    <w:rsid w:val="008B72FA"/>
    <w:rsid w:val="008C040A"/>
    <w:rsid w:val="008C33DF"/>
    <w:rsid w:val="008C37B3"/>
    <w:rsid w:val="008C3D30"/>
    <w:rsid w:val="008C437D"/>
    <w:rsid w:val="008D42FB"/>
    <w:rsid w:val="008D7E3D"/>
    <w:rsid w:val="008E08C5"/>
    <w:rsid w:val="008E0E25"/>
    <w:rsid w:val="008E102B"/>
    <w:rsid w:val="008E2557"/>
    <w:rsid w:val="008E4684"/>
    <w:rsid w:val="008E6DED"/>
    <w:rsid w:val="008F1804"/>
    <w:rsid w:val="008F29A5"/>
    <w:rsid w:val="008F3D51"/>
    <w:rsid w:val="008F45C6"/>
    <w:rsid w:val="008F5A55"/>
    <w:rsid w:val="00900361"/>
    <w:rsid w:val="009014D9"/>
    <w:rsid w:val="00903E89"/>
    <w:rsid w:val="009046B4"/>
    <w:rsid w:val="00904DB6"/>
    <w:rsid w:val="00905C5C"/>
    <w:rsid w:val="00906155"/>
    <w:rsid w:val="00906482"/>
    <w:rsid w:val="00907024"/>
    <w:rsid w:val="00912593"/>
    <w:rsid w:val="00912A1A"/>
    <w:rsid w:val="009130B3"/>
    <w:rsid w:val="00914BAC"/>
    <w:rsid w:val="00917C08"/>
    <w:rsid w:val="00923B44"/>
    <w:rsid w:val="009246F8"/>
    <w:rsid w:val="0092543B"/>
    <w:rsid w:val="00927F23"/>
    <w:rsid w:val="00931048"/>
    <w:rsid w:val="00933DE6"/>
    <w:rsid w:val="00933E7A"/>
    <w:rsid w:val="00936141"/>
    <w:rsid w:val="00937D9A"/>
    <w:rsid w:val="0094140C"/>
    <w:rsid w:val="00943684"/>
    <w:rsid w:val="00946768"/>
    <w:rsid w:val="00950C13"/>
    <w:rsid w:val="00951FD2"/>
    <w:rsid w:val="009569DF"/>
    <w:rsid w:val="00957376"/>
    <w:rsid w:val="00957E1F"/>
    <w:rsid w:val="00961887"/>
    <w:rsid w:val="00961A0C"/>
    <w:rsid w:val="009623EC"/>
    <w:rsid w:val="00962987"/>
    <w:rsid w:val="00964738"/>
    <w:rsid w:val="00964977"/>
    <w:rsid w:val="009660D7"/>
    <w:rsid w:val="00967795"/>
    <w:rsid w:val="00971C7B"/>
    <w:rsid w:val="00971DF6"/>
    <w:rsid w:val="00972337"/>
    <w:rsid w:val="0097490B"/>
    <w:rsid w:val="0097574C"/>
    <w:rsid w:val="009759AE"/>
    <w:rsid w:val="00975FA8"/>
    <w:rsid w:val="009762DD"/>
    <w:rsid w:val="00977FE5"/>
    <w:rsid w:val="009806D0"/>
    <w:rsid w:val="00983114"/>
    <w:rsid w:val="00985891"/>
    <w:rsid w:val="009867AD"/>
    <w:rsid w:val="0099095A"/>
    <w:rsid w:val="009909B0"/>
    <w:rsid w:val="00992A8B"/>
    <w:rsid w:val="00993205"/>
    <w:rsid w:val="00994352"/>
    <w:rsid w:val="0099623A"/>
    <w:rsid w:val="009966C7"/>
    <w:rsid w:val="00996D2A"/>
    <w:rsid w:val="009978F6"/>
    <w:rsid w:val="00997E31"/>
    <w:rsid w:val="009A11B0"/>
    <w:rsid w:val="009A219A"/>
    <w:rsid w:val="009A2F6D"/>
    <w:rsid w:val="009A4F95"/>
    <w:rsid w:val="009A634F"/>
    <w:rsid w:val="009B0626"/>
    <w:rsid w:val="009B0B42"/>
    <w:rsid w:val="009B2A57"/>
    <w:rsid w:val="009B47A1"/>
    <w:rsid w:val="009B6600"/>
    <w:rsid w:val="009B7C91"/>
    <w:rsid w:val="009C12FF"/>
    <w:rsid w:val="009C1A55"/>
    <w:rsid w:val="009C5821"/>
    <w:rsid w:val="009C78DB"/>
    <w:rsid w:val="009C7930"/>
    <w:rsid w:val="009D0581"/>
    <w:rsid w:val="009D0A62"/>
    <w:rsid w:val="009D2B64"/>
    <w:rsid w:val="009D4DDE"/>
    <w:rsid w:val="009D5929"/>
    <w:rsid w:val="009D66B2"/>
    <w:rsid w:val="009D7463"/>
    <w:rsid w:val="009E46D8"/>
    <w:rsid w:val="009E5E9C"/>
    <w:rsid w:val="009E7B69"/>
    <w:rsid w:val="009F083E"/>
    <w:rsid w:val="009F0A9D"/>
    <w:rsid w:val="009F2D52"/>
    <w:rsid w:val="009F301F"/>
    <w:rsid w:val="009F5757"/>
    <w:rsid w:val="009F6E4F"/>
    <w:rsid w:val="00A00C9E"/>
    <w:rsid w:val="00A019F4"/>
    <w:rsid w:val="00A022DE"/>
    <w:rsid w:val="00A02BCA"/>
    <w:rsid w:val="00A03010"/>
    <w:rsid w:val="00A0562E"/>
    <w:rsid w:val="00A10B95"/>
    <w:rsid w:val="00A139FF"/>
    <w:rsid w:val="00A16998"/>
    <w:rsid w:val="00A16EEC"/>
    <w:rsid w:val="00A20217"/>
    <w:rsid w:val="00A23300"/>
    <w:rsid w:val="00A24DF4"/>
    <w:rsid w:val="00A253AB"/>
    <w:rsid w:val="00A25A8F"/>
    <w:rsid w:val="00A27552"/>
    <w:rsid w:val="00A31133"/>
    <w:rsid w:val="00A31FE6"/>
    <w:rsid w:val="00A3362C"/>
    <w:rsid w:val="00A35B66"/>
    <w:rsid w:val="00A36AD8"/>
    <w:rsid w:val="00A407DA"/>
    <w:rsid w:val="00A40ADA"/>
    <w:rsid w:val="00A40C74"/>
    <w:rsid w:val="00A421D0"/>
    <w:rsid w:val="00A42475"/>
    <w:rsid w:val="00A42E01"/>
    <w:rsid w:val="00A454D6"/>
    <w:rsid w:val="00A45EC0"/>
    <w:rsid w:val="00A46151"/>
    <w:rsid w:val="00A50928"/>
    <w:rsid w:val="00A52304"/>
    <w:rsid w:val="00A578E0"/>
    <w:rsid w:val="00A60E19"/>
    <w:rsid w:val="00A611DC"/>
    <w:rsid w:val="00A62E1A"/>
    <w:rsid w:val="00A6523D"/>
    <w:rsid w:val="00A661B9"/>
    <w:rsid w:val="00A7123A"/>
    <w:rsid w:val="00A71CA3"/>
    <w:rsid w:val="00A73C68"/>
    <w:rsid w:val="00A753FB"/>
    <w:rsid w:val="00A80012"/>
    <w:rsid w:val="00A81A30"/>
    <w:rsid w:val="00A82515"/>
    <w:rsid w:val="00A84C49"/>
    <w:rsid w:val="00A8556E"/>
    <w:rsid w:val="00A85DCA"/>
    <w:rsid w:val="00A86714"/>
    <w:rsid w:val="00A867FD"/>
    <w:rsid w:val="00A90952"/>
    <w:rsid w:val="00A9247B"/>
    <w:rsid w:val="00A92E3F"/>
    <w:rsid w:val="00A95406"/>
    <w:rsid w:val="00A9559D"/>
    <w:rsid w:val="00A964C9"/>
    <w:rsid w:val="00A968DC"/>
    <w:rsid w:val="00A974D1"/>
    <w:rsid w:val="00AA0441"/>
    <w:rsid w:val="00AA560F"/>
    <w:rsid w:val="00AA7047"/>
    <w:rsid w:val="00AA713B"/>
    <w:rsid w:val="00AA7BEB"/>
    <w:rsid w:val="00AB08A7"/>
    <w:rsid w:val="00AB53BC"/>
    <w:rsid w:val="00AC069A"/>
    <w:rsid w:val="00AC37CA"/>
    <w:rsid w:val="00AC5B85"/>
    <w:rsid w:val="00AC76CD"/>
    <w:rsid w:val="00AC7D3D"/>
    <w:rsid w:val="00AD074E"/>
    <w:rsid w:val="00AD1793"/>
    <w:rsid w:val="00AD375C"/>
    <w:rsid w:val="00AD3C9B"/>
    <w:rsid w:val="00AD3FC0"/>
    <w:rsid w:val="00AE2A1A"/>
    <w:rsid w:val="00AE611C"/>
    <w:rsid w:val="00AE62DA"/>
    <w:rsid w:val="00AE66C2"/>
    <w:rsid w:val="00AE6B43"/>
    <w:rsid w:val="00B01A94"/>
    <w:rsid w:val="00B0236C"/>
    <w:rsid w:val="00B04213"/>
    <w:rsid w:val="00B051D8"/>
    <w:rsid w:val="00B060F9"/>
    <w:rsid w:val="00B06A89"/>
    <w:rsid w:val="00B1004C"/>
    <w:rsid w:val="00B118D4"/>
    <w:rsid w:val="00B13050"/>
    <w:rsid w:val="00B15B60"/>
    <w:rsid w:val="00B163A6"/>
    <w:rsid w:val="00B16CBE"/>
    <w:rsid w:val="00B173DE"/>
    <w:rsid w:val="00B22379"/>
    <w:rsid w:val="00B23B5B"/>
    <w:rsid w:val="00B251EA"/>
    <w:rsid w:val="00B272C8"/>
    <w:rsid w:val="00B278D6"/>
    <w:rsid w:val="00B30614"/>
    <w:rsid w:val="00B3170A"/>
    <w:rsid w:val="00B31729"/>
    <w:rsid w:val="00B32B3F"/>
    <w:rsid w:val="00B3535A"/>
    <w:rsid w:val="00B368D2"/>
    <w:rsid w:val="00B405FA"/>
    <w:rsid w:val="00B422AA"/>
    <w:rsid w:val="00B423A1"/>
    <w:rsid w:val="00B43DEE"/>
    <w:rsid w:val="00B443C9"/>
    <w:rsid w:val="00B44D51"/>
    <w:rsid w:val="00B453B1"/>
    <w:rsid w:val="00B45556"/>
    <w:rsid w:val="00B4605D"/>
    <w:rsid w:val="00B465C7"/>
    <w:rsid w:val="00B51E51"/>
    <w:rsid w:val="00B53311"/>
    <w:rsid w:val="00B55F60"/>
    <w:rsid w:val="00B57CF3"/>
    <w:rsid w:val="00B660C8"/>
    <w:rsid w:val="00B66E13"/>
    <w:rsid w:val="00B6754C"/>
    <w:rsid w:val="00B679A2"/>
    <w:rsid w:val="00B726F6"/>
    <w:rsid w:val="00B74B1C"/>
    <w:rsid w:val="00B753D7"/>
    <w:rsid w:val="00B757B5"/>
    <w:rsid w:val="00B838F6"/>
    <w:rsid w:val="00B85B51"/>
    <w:rsid w:val="00B86A36"/>
    <w:rsid w:val="00B87201"/>
    <w:rsid w:val="00B876D2"/>
    <w:rsid w:val="00B917D0"/>
    <w:rsid w:val="00B92F32"/>
    <w:rsid w:val="00B94F65"/>
    <w:rsid w:val="00BA4608"/>
    <w:rsid w:val="00BA7F5B"/>
    <w:rsid w:val="00BB0315"/>
    <w:rsid w:val="00BB0EDE"/>
    <w:rsid w:val="00BB1612"/>
    <w:rsid w:val="00BB40CF"/>
    <w:rsid w:val="00BB5477"/>
    <w:rsid w:val="00BB6849"/>
    <w:rsid w:val="00BC2DAE"/>
    <w:rsid w:val="00BC6A7E"/>
    <w:rsid w:val="00BD1CBD"/>
    <w:rsid w:val="00BD3B68"/>
    <w:rsid w:val="00BD3B7B"/>
    <w:rsid w:val="00BD5675"/>
    <w:rsid w:val="00BD7011"/>
    <w:rsid w:val="00BD705A"/>
    <w:rsid w:val="00BD7F94"/>
    <w:rsid w:val="00BE2183"/>
    <w:rsid w:val="00BE2456"/>
    <w:rsid w:val="00BE30DC"/>
    <w:rsid w:val="00BE4048"/>
    <w:rsid w:val="00BE43DF"/>
    <w:rsid w:val="00BE610D"/>
    <w:rsid w:val="00BE6B02"/>
    <w:rsid w:val="00BF0315"/>
    <w:rsid w:val="00BF19F6"/>
    <w:rsid w:val="00BF31B3"/>
    <w:rsid w:val="00BF399F"/>
    <w:rsid w:val="00BF7655"/>
    <w:rsid w:val="00BF7D74"/>
    <w:rsid w:val="00BF7D77"/>
    <w:rsid w:val="00C00D25"/>
    <w:rsid w:val="00C02B1D"/>
    <w:rsid w:val="00C0335C"/>
    <w:rsid w:val="00C065CE"/>
    <w:rsid w:val="00C10A61"/>
    <w:rsid w:val="00C11524"/>
    <w:rsid w:val="00C1342B"/>
    <w:rsid w:val="00C15A93"/>
    <w:rsid w:val="00C15C00"/>
    <w:rsid w:val="00C21789"/>
    <w:rsid w:val="00C21892"/>
    <w:rsid w:val="00C2299E"/>
    <w:rsid w:val="00C23FF7"/>
    <w:rsid w:val="00C248FF"/>
    <w:rsid w:val="00C24C22"/>
    <w:rsid w:val="00C2582F"/>
    <w:rsid w:val="00C3135A"/>
    <w:rsid w:val="00C33F0C"/>
    <w:rsid w:val="00C34813"/>
    <w:rsid w:val="00C34A1C"/>
    <w:rsid w:val="00C35DBF"/>
    <w:rsid w:val="00C3784F"/>
    <w:rsid w:val="00C40209"/>
    <w:rsid w:val="00C402B7"/>
    <w:rsid w:val="00C410E4"/>
    <w:rsid w:val="00C43346"/>
    <w:rsid w:val="00C438A8"/>
    <w:rsid w:val="00C4416D"/>
    <w:rsid w:val="00C45BA8"/>
    <w:rsid w:val="00C462DE"/>
    <w:rsid w:val="00C463DB"/>
    <w:rsid w:val="00C472D9"/>
    <w:rsid w:val="00C47D14"/>
    <w:rsid w:val="00C500B3"/>
    <w:rsid w:val="00C51E22"/>
    <w:rsid w:val="00C51E39"/>
    <w:rsid w:val="00C53304"/>
    <w:rsid w:val="00C542F5"/>
    <w:rsid w:val="00C5492F"/>
    <w:rsid w:val="00C5556A"/>
    <w:rsid w:val="00C60121"/>
    <w:rsid w:val="00C64223"/>
    <w:rsid w:val="00C644E6"/>
    <w:rsid w:val="00C64754"/>
    <w:rsid w:val="00C67019"/>
    <w:rsid w:val="00C730E5"/>
    <w:rsid w:val="00C75B9B"/>
    <w:rsid w:val="00C76B0B"/>
    <w:rsid w:val="00C814AD"/>
    <w:rsid w:val="00C815DB"/>
    <w:rsid w:val="00C82047"/>
    <w:rsid w:val="00C8334D"/>
    <w:rsid w:val="00C83595"/>
    <w:rsid w:val="00C83A73"/>
    <w:rsid w:val="00C86254"/>
    <w:rsid w:val="00C9047F"/>
    <w:rsid w:val="00C9392C"/>
    <w:rsid w:val="00C9582F"/>
    <w:rsid w:val="00C960B8"/>
    <w:rsid w:val="00C9618D"/>
    <w:rsid w:val="00C963CE"/>
    <w:rsid w:val="00CA07E8"/>
    <w:rsid w:val="00CA334C"/>
    <w:rsid w:val="00CA350B"/>
    <w:rsid w:val="00CA37AC"/>
    <w:rsid w:val="00CA6E37"/>
    <w:rsid w:val="00CB1FBC"/>
    <w:rsid w:val="00CC0276"/>
    <w:rsid w:val="00CC1138"/>
    <w:rsid w:val="00CC1930"/>
    <w:rsid w:val="00CD1CF7"/>
    <w:rsid w:val="00CD61A7"/>
    <w:rsid w:val="00CE090B"/>
    <w:rsid w:val="00CE11FA"/>
    <w:rsid w:val="00CE37E0"/>
    <w:rsid w:val="00CE4EF3"/>
    <w:rsid w:val="00CE64B7"/>
    <w:rsid w:val="00CE795A"/>
    <w:rsid w:val="00CF3878"/>
    <w:rsid w:val="00CF39F0"/>
    <w:rsid w:val="00CF5B4C"/>
    <w:rsid w:val="00CF74D5"/>
    <w:rsid w:val="00D03AAB"/>
    <w:rsid w:val="00D03E81"/>
    <w:rsid w:val="00D04F04"/>
    <w:rsid w:val="00D06993"/>
    <w:rsid w:val="00D0728E"/>
    <w:rsid w:val="00D076A7"/>
    <w:rsid w:val="00D10360"/>
    <w:rsid w:val="00D12E10"/>
    <w:rsid w:val="00D13F70"/>
    <w:rsid w:val="00D14421"/>
    <w:rsid w:val="00D21954"/>
    <w:rsid w:val="00D21C17"/>
    <w:rsid w:val="00D241FB"/>
    <w:rsid w:val="00D249C0"/>
    <w:rsid w:val="00D253EE"/>
    <w:rsid w:val="00D26499"/>
    <w:rsid w:val="00D27833"/>
    <w:rsid w:val="00D31893"/>
    <w:rsid w:val="00D375A0"/>
    <w:rsid w:val="00D37E9F"/>
    <w:rsid w:val="00D402CA"/>
    <w:rsid w:val="00D417F5"/>
    <w:rsid w:val="00D41E4E"/>
    <w:rsid w:val="00D427AB"/>
    <w:rsid w:val="00D503F1"/>
    <w:rsid w:val="00D50629"/>
    <w:rsid w:val="00D512D5"/>
    <w:rsid w:val="00D56977"/>
    <w:rsid w:val="00D61794"/>
    <w:rsid w:val="00D61C1F"/>
    <w:rsid w:val="00D62B47"/>
    <w:rsid w:val="00D640B7"/>
    <w:rsid w:val="00D65CE1"/>
    <w:rsid w:val="00D674ED"/>
    <w:rsid w:val="00D716AB"/>
    <w:rsid w:val="00D71944"/>
    <w:rsid w:val="00D723EF"/>
    <w:rsid w:val="00D72D8E"/>
    <w:rsid w:val="00D81342"/>
    <w:rsid w:val="00D824F7"/>
    <w:rsid w:val="00D82E48"/>
    <w:rsid w:val="00D83F77"/>
    <w:rsid w:val="00D84901"/>
    <w:rsid w:val="00D85EBC"/>
    <w:rsid w:val="00D9094B"/>
    <w:rsid w:val="00D91702"/>
    <w:rsid w:val="00D93D55"/>
    <w:rsid w:val="00D94664"/>
    <w:rsid w:val="00D94B96"/>
    <w:rsid w:val="00DA0FDE"/>
    <w:rsid w:val="00DA306B"/>
    <w:rsid w:val="00DA64BF"/>
    <w:rsid w:val="00DA706C"/>
    <w:rsid w:val="00DB0B13"/>
    <w:rsid w:val="00DB1704"/>
    <w:rsid w:val="00DB55C2"/>
    <w:rsid w:val="00DB587C"/>
    <w:rsid w:val="00DB6627"/>
    <w:rsid w:val="00DC0E49"/>
    <w:rsid w:val="00DC16B0"/>
    <w:rsid w:val="00DC1CCB"/>
    <w:rsid w:val="00DC38ED"/>
    <w:rsid w:val="00DC4DFC"/>
    <w:rsid w:val="00DC6264"/>
    <w:rsid w:val="00DD0089"/>
    <w:rsid w:val="00DD244B"/>
    <w:rsid w:val="00DD2A88"/>
    <w:rsid w:val="00DD303B"/>
    <w:rsid w:val="00DD3D88"/>
    <w:rsid w:val="00DD5C06"/>
    <w:rsid w:val="00DE0AB4"/>
    <w:rsid w:val="00DE16BB"/>
    <w:rsid w:val="00DE294C"/>
    <w:rsid w:val="00DE2A21"/>
    <w:rsid w:val="00DE3E3F"/>
    <w:rsid w:val="00DE46B3"/>
    <w:rsid w:val="00DE4C5A"/>
    <w:rsid w:val="00DE4DFC"/>
    <w:rsid w:val="00DE531B"/>
    <w:rsid w:val="00DE7017"/>
    <w:rsid w:val="00DE7F54"/>
    <w:rsid w:val="00DF084E"/>
    <w:rsid w:val="00DF09B4"/>
    <w:rsid w:val="00DF4CA8"/>
    <w:rsid w:val="00DF76AD"/>
    <w:rsid w:val="00E011B2"/>
    <w:rsid w:val="00E01D5A"/>
    <w:rsid w:val="00E01ED5"/>
    <w:rsid w:val="00E10202"/>
    <w:rsid w:val="00E134FD"/>
    <w:rsid w:val="00E14A2B"/>
    <w:rsid w:val="00E16F82"/>
    <w:rsid w:val="00E17A92"/>
    <w:rsid w:val="00E20E34"/>
    <w:rsid w:val="00E20F33"/>
    <w:rsid w:val="00E22523"/>
    <w:rsid w:val="00E245E0"/>
    <w:rsid w:val="00E30F5F"/>
    <w:rsid w:val="00E356D2"/>
    <w:rsid w:val="00E35BE1"/>
    <w:rsid w:val="00E372ED"/>
    <w:rsid w:val="00E40853"/>
    <w:rsid w:val="00E410DD"/>
    <w:rsid w:val="00E41689"/>
    <w:rsid w:val="00E4500C"/>
    <w:rsid w:val="00E465D3"/>
    <w:rsid w:val="00E47C73"/>
    <w:rsid w:val="00E5156C"/>
    <w:rsid w:val="00E51EE1"/>
    <w:rsid w:val="00E52C5F"/>
    <w:rsid w:val="00E55357"/>
    <w:rsid w:val="00E56618"/>
    <w:rsid w:val="00E60922"/>
    <w:rsid w:val="00E60997"/>
    <w:rsid w:val="00E611BF"/>
    <w:rsid w:val="00E624A7"/>
    <w:rsid w:val="00E6388B"/>
    <w:rsid w:val="00E663F9"/>
    <w:rsid w:val="00E66DF5"/>
    <w:rsid w:val="00E67822"/>
    <w:rsid w:val="00E708C6"/>
    <w:rsid w:val="00E71320"/>
    <w:rsid w:val="00E7212A"/>
    <w:rsid w:val="00E72D3C"/>
    <w:rsid w:val="00E732BF"/>
    <w:rsid w:val="00E7331A"/>
    <w:rsid w:val="00E75DE0"/>
    <w:rsid w:val="00E8104E"/>
    <w:rsid w:val="00E81B8A"/>
    <w:rsid w:val="00E81CC0"/>
    <w:rsid w:val="00E829ED"/>
    <w:rsid w:val="00E82C24"/>
    <w:rsid w:val="00E847C7"/>
    <w:rsid w:val="00E84A41"/>
    <w:rsid w:val="00E8664F"/>
    <w:rsid w:val="00E904CC"/>
    <w:rsid w:val="00E90D61"/>
    <w:rsid w:val="00E90D7E"/>
    <w:rsid w:val="00E945B8"/>
    <w:rsid w:val="00E9668C"/>
    <w:rsid w:val="00EA00B7"/>
    <w:rsid w:val="00EA15ED"/>
    <w:rsid w:val="00EA3D4F"/>
    <w:rsid w:val="00EA4845"/>
    <w:rsid w:val="00EA4C8A"/>
    <w:rsid w:val="00EA4CFA"/>
    <w:rsid w:val="00EA6E8C"/>
    <w:rsid w:val="00EB103C"/>
    <w:rsid w:val="00EB162D"/>
    <w:rsid w:val="00EB25AF"/>
    <w:rsid w:val="00EB4097"/>
    <w:rsid w:val="00EB589C"/>
    <w:rsid w:val="00EC070B"/>
    <w:rsid w:val="00EC29AD"/>
    <w:rsid w:val="00EC5019"/>
    <w:rsid w:val="00EC51A9"/>
    <w:rsid w:val="00ED07B7"/>
    <w:rsid w:val="00ED228D"/>
    <w:rsid w:val="00ED2E76"/>
    <w:rsid w:val="00ED3840"/>
    <w:rsid w:val="00ED3EC9"/>
    <w:rsid w:val="00ED3F60"/>
    <w:rsid w:val="00ED5CC6"/>
    <w:rsid w:val="00EE0E7F"/>
    <w:rsid w:val="00EF275B"/>
    <w:rsid w:val="00EF3C32"/>
    <w:rsid w:val="00EF4874"/>
    <w:rsid w:val="00EF5BCB"/>
    <w:rsid w:val="00F004BB"/>
    <w:rsid w:val="00F03C6B"/>
    <w:rsid w:val="00F049A1"/>
    <w:rsid w:val="00F05C40"/>
    <w:rsid w:val="00F06A96"/>
    <w:rsid w:val="00F07F1F"/>
    <w:rsid w:val="00F125A1"/>
    <w:rsid w:val="00F13CF1"/>
    <w:rsid w:val="00F14156"/>
    <w:rsid w:val="00F1494A"/>
    <w:rsid w:val="00F153BC"/>
    <w:rsid w:val="00F16015"/>
    <w:rsid w:val="00F166C5"/>
    <w:rsid w:val="00F21086"/>
    <w:rsid w:val="00F21CDF"/>
    <w:rsid w:val="00F22727"/>
    <w:rsid w:val="00F233AB"/>
    <w:rsid w:val="00F23C9B"/>
    <w:rsid w:val="00F26131"/>
    <w:rsid w:val="00F308EA"/>
    <w:rsid w:val="00F3146E"/>
    <w:rsid w:val="00F31516"/>
    <w:rsid w:val="00F32332"/>
    <w:rsid w:val="00F32E2C"/>
    <w:rsid w:val="00F34298"/>
    <w:rsid w:val="00F344A5"/>
    <w:rsid w:val="00F37187"/>
    <w:rsid w:val="00F45179"/>
    <w:rsid w:val="00F452AE"/>
    <w:rsid w:val="00F45B54"/>
    <w:rsid w:val="00F4679F"/>
    <w:rsid w:val="00F473BE"/>
    <w:rsid w:val="00F47964"/>
    <w:rsid w:val="00F51555"/>
    <w:rsid w:val="00F517B9"/>
    <w:rsid w:val="00F51960"/>
    <w:rsid w:val="00F5241B"/>
    <w:rsid w:val="00F52ACA"/>
    <w:rsid w:val="00F52D58"/>
    <w:rsid w:val="00F53CA2"/>
    <w:rsid w:val="00F56C84"/>
    <w:rsid w:val="00F61981"/>
    <w:rsid w:val="00F62D55"/>
    <w:rsid w:val="00F6393F"/>
    <w:rsid w:val="00F639C2"/>
    <w:rsid w:val="00F63FFE"/>
    <w:rsid w:val="00F64925"/>
    <w:rsid w:val="00F64F50"/>
    <w:rsid w:val="00F6736D"/>
    <w:rsid w:val="00F708F2"/>
    <w:rsid w:val="00F71A3D"/>
    <w:rsid w:val="00F726C5"/>
    <w:rsid w:val="00F727B5"/>
    <w:rsid w:val="00F727BF"/>
    <w:rsid w:val="00F7367F"/>
    <w:rsid w:val="00F75684"/>
    <w:rsid w:val="00F82C4D"/>
    <w:rsid w:val="00F85953"/>
    <w:rsid w:val="00F868BE"/>
    <w:rsid w:val="00F91834"/>
    <w:rsid w:val="00F920A6"/>
    <w:rsid w:val="00F92D7D"/>
    <w:rsid w:val="00F942C9"/>
    <w:rsid w:val="00F94644"/>
    <w:rsid w:val="00F97954"/>
    <w:rsid w:val="00FA3969"/>
    <w:rsid w:val="00FA5FE0"/>
    <w:rsid w:val="00FB078D"/>
    <w:rsid w:val="00FB1500"/>
    <w:rsid w:val="00FB2645"/>
    <w:rsid w:val="00FB2CB9"/>
    <w:rsid w:val="00FB3435"/>
    <w:rsid w:val="00FB3755"/>
    <w:rsid w:val="00FB3BCB"/>
    <w:rsid w:val="00FB42C0"/>
    <w:rsid w:val="00FB53C6"/>
    <w:rsid w:val="00FB5788"/>
    <w:rsid w:val="00FB6C9F"/>
    <w:rsid w:val="00FB7E4F"/>
    <w:rsid w:val="00FC0053"/>
    <w:rsid w:val="00FC0344"/>
    <w:rsid w:val="00FC1596"/>
    <w:rsid w:val="00FC3316"/>
    <w:rsid w:val="00FC4D74"/>
    <w:rsid w:val="00FC6ED0"/>
    <w:rsid w:val="00FD085F"/>
    <w:rsid w:val="00FD519C"/>
    <w:rsid w:val="00FE254E"/>
    <w:rsid w:val="00FE321C"/>
    <w:rsid w:val="00FE4986"/>
    <w:rsid w:val="00FE7A1D"/>
    <w:rsid w:val="00FF0220"/>
    <w:rsid w:val="00FF47D5"/>
    <w:rsid w:val="00FF4D28"/>
    <w:rsid w:val="011937D7"/>
    <w:rsid w:val="0171333E"/>
    <w:rsid w:val="01933DCC"/>
    <w:rsid w:val="01C761D7"/>
    <w:rsid w:val="01D34B7C"/>
    <w:rsid w:val="01D628BE"/>
    <w:rsid w:val="01E943A0"/>
    <w:rsid w:val="02077118"/>
    <w:rsid w:val="02105DD0"/>
    <w:rsid w:val="02183118"/>
    <w:rsid w:val="021B6523"/>
    <w:rsid w:val="026701F4"/>
    <w:rsid w:val="02682509"/>
    <w:rsid w:val="026E0D49"/>
    <w:rsid w:val="02831388"/>
    <w:rsid w:val="02C92423"/>
    <w:rsid w:val="02F006F9"/>
    <w:rsid w:val="02FE20CD"/>
    <w:rsid w:val="036A1510"/>
    <w:rsid w:val="036F4D79"/>
    <w:rsid w:val="037B5E49"/>
    <w:rsid w:val="0397685B"/>
    <w:rsid w:val="03AD764F"/>
    <w:rsid w:val="03B83E74"/>
    <w:rsid w:val="03D42E2E"/>
    <w:rsid w:val="04471F90"/>
    <w:rsid w:val="04567CE7"/>
    <w:rsid w:val="045B70AB"/>
    <w:rsid w:val="049C57EA"/>
    <w:rsid w:val="04CD7FA9"/>
    <w:rsid w:val="04D37F92"/>
    <w:rsid w:val="04EC3629"/>
    <w:rsid w:val="050A0383"/>
    <w:rsid w:val="05573D16"/>
    <w:rsid w:val="055E32F7"/>
    <w:rsid w:val="05854D9B"/>
    <w:rsid w:val="05D30172"/>
    <w:rsid w:val="05DD05E6"/>
    <w:rsid w:val="05E27A84"/>
    <w:rsid w:val="05EE492D"/>
    <w:rsid w:val="05F94DCD"/>
    <w:rsid w:val="061B1C76"/>
    <w:rsid w:val="064249C6"/>
    <w:rsid w:val="06946890"/>
    <w:rsid w:val="06E934D3"/>
    <w:rsid w:val="070D6D82"/>
    <w:rsid w:val="07280DFC"/>
    <w:rsid w:val="07566622"/>
    <w:rsid w:val="07835161"/>
    <w:rsid w:val="078901E4"/>
    <w:rsid w:val="07950B26"/>
    <w:rsid w:val="079C64A7"/>
    <w:rsid w:val="07C733D5"/>
    <w:rsid w:val="07D01B5E"/>
    <w:rsid w:val="07DB2DC2"/>
    <w:rsid w:val="085C6B59"/>
    <w:rsid w:val="087150EF"/>
    <w:rsid w:val="089B216C"/>
    <w:rsid w:val="08C67927"/>
    <w:rsid w:val="08E41D65"/>
    <w:rsid w:val="08E616F2"/>
    <w:rsid w:val="08F04266"/>
    <w:rsid w:val="0904797F"/>
    <w:rsid w:val="090D31F1"/>
    <w:rsid w:val="09167A44"/>
    <w:rsid w:val="09431787"/>
    <w:rsid w:val="09434CDD"/>
    <w:rsid w:val="09736C45"/>
    <w:rsid w:val="099F5C8C"/>
    <w:rsid w:val="09BD08BF"/>
    <w:rsid w:val="09D26061"/>
    <w:rsid w:val="09EF276F"/>
    <w:rsid w:val="0A495478"/>
    <w:rsid w:val="0A6767AA"/>
    <w:rsid w:val="0A6C0264"/>
    <w:rsid w:val="0AA86DB8"/>
    <w:rsid w:val="0B033C1F"/>
    <w:rsid w:val="0B204BAA"/>
    <w:rsid w:val="0B5D7BAD"/>
    <w:rsid w:val="0B991994"/>
    <w:rsid w:val="0BB974D9"/>
    <w:rsid w:val="0BF76AFC"/>
    <w:rsid w:val="0C14470F"/>
    <w:rsid w:val="0C3470A5"/>
    <w:rsid w:val="0C355862"/>
    <w:rsid w:val="0C4548C9"/>
    <w:rsid w:val="0C5C7E64"/>
    <w:rsid w:val="0C776A4C"/>
    <w:rsid w:val="0C8A2C23"/>
    <w:rsid w:val="0CA34B15"/>
    <w:rsid w:val="0CC9374C"/>
    <w:rsid w:val="0CEE7179"/>
    <w:rsid w:val="0D0504FC"/>
    <w:rsid w:val="0D1D3A97"/>
    <w:rsid w:val="0D200E92"/>
    <w:rsid w:val="0D324D1E"/>
    <w:rsid w:val="0D6D057B"/>
    <w:rsid w:val="0D737BDF"/>
    <w:rsid w:val="0D8D410F"/>
    <w:rsid w:val="0D930E9D"/>
    <w:rsid w:val="0D9461AE"/>
    <w:rsid w:val="0DDA7A3A"/>
    <w:rsid w:val="0DE2190D"/>
    <w:rsid w:val="0E012A71"/>
    <w:rsid w:val="0E0D58BA"/>
    <w:rsid w:val="0E6B25E0"/>
    <w:rsid w:val="0E8B75AF"/>
    <w:rsid w:val="0EDB32C2"/>
    <w:rsid w:val="0EF15D5C"/>
    <w:rsid w:val="0F262533"/>
    <w:rsid w:val="0F3F5F47"/>
    <w:rsid w:val="0F4A0448"/>
    <w:rsid w:val="0F5D017B"/>
    <w:rsid w:val="0FCB13E4"/>
    <w:rsid w:val="0FDA17CC"/>
    <w:rsid w:val="0FE12B5A"/>
    <w:rsid w:val="0FE35C83"/>
    <w:rsid w:val="0FFF6983"/>
    <w:rsid w:val="10087694"/>
    <w:rsid w:val="104B4477"/>
    <w:rsid w:val="106A2DB8"/>
    <w:rsid w:val="10B77D5F"/>
    <w:rsid w:val="10BC7123"/>
    <w:rsid w:val="10C37310"/>
    <w:rsid w:val="11001706"/>
    <w:rsid w:val="11205904"/>
    <w:rsid w:val="117D68B3"/>
    <w:rsid w:val="1182036D"/>
    <w:rsid w:val="11E744BC"/>
    <w:rsid w:val="123A0CA7"/>
    <w:rsid w:val="125A3098"/>
    <w:rsid w:val="12771554"/>
    <w:rsid w:val="129744FA"/>
    <w:rsid w:val="12984B53"/>
    <w:rsid w:val="129A7987"/>
    <w:rsid w:val="12C56763"/>
    <w:rsid w:val="12E50BB3"/>
    <w:rsid w:val="12F21D9D"/>
    <w:rsid w:val="12FC5EFD"/>
    <w:rsid w:val="13250FB0"/>
    <w:rsid w:val="132536A6"/>
    <w:rsid w:val="13386F35"/>
    <w:rsid w:val="13767A5D"/>
    <w:rsid w:val="13826402"/>
    <w:rsid w:val="139F5206"/>
    <w:rsid w:val="13AE369B"/>
    <w:rsid w:val="13FE0BE4"/>
    <w:rsid w:val="14091C4C"/>
    <w:rsid w:val="141F6347"/>
    <w:rsid w:val="142474B9"/>
    <w:rsid w:val="14515DD5"/>
    <w:rsid w:val="145A2EDB"/>
    <w:rsid w:val="145D29CB"/>
    <w:rsid w:val="147E12BF"/>
    <w:rsid w:val="14972381"/>
    <w:rsid w:val="15001CD4"/>
    <w:rsid w:val="15252FA3"/>
    <w:rsid w:val="1542595B"/>
    <w:rsid w:val="15674EC2"/>
    <w:rsid w:val="1582093B"/>
    <w:rsid w:val="158E5532"/>
    <w:rsid w:val="15EE500C"/>
    <w:rsid w:val="162419F3"/>
    <w:rsid w:val="163315F6"/>
    <w:rsid w:val="163559AE"/>
    <w:rsid w:val="165D6CB3"/>
    <w:rsid w:val="16677B31"/>
    <w:rsid w:val="16881E9F"/>
    <w:rsid w:val="168D7598"/>
    <w:rsid w:val="168E3310"/>
    <w:rsid w:val="16AE750E"/>
    <w:rsid w:val="16B70AB9"/>
    <w:rsid w:val="16BC60CF"/>
    <w:rsid w:val="16C3610A"/>
    <w:rsid w:val="1706559C"/>
    <w:rsid w:val="17530D90"/>
    <w:rsid w:val="17663221"/>
    <w:rsid w:val="17732C32"/>
    <w:rsid w:val="17A50911"/>
    <w:rsid w:val="17AA4179"/>
    <w:rsid w:val="17AD77C6"/>
    <w:rsid w:val="17CC0594"/>
    <w:rsid w:val="17E84CBB"/>
    <w:rsid w:val="181643B1"/>
    <w:rsid w:val="185F6D12"/>
    <w:rsid w:val="188C387F"/>
    <w:rsid w:val="18B00C81"/>
    <w:rsid w:val="18C23CE3"/>
    <w:rsid w:val="18D052FF"/>
    <w:rsid w:val="18DD40DB"/>
    <w:rsid w:val="19045B0B"/>
    <w:rsid w:val="198D3D53"/>
    <w:rsid w:val="19FE255B"/>
    <w:rsid w:val="1A6E148E"/>
    <w:rsid w:val="1AB01AA7"/>
    <w:rsid w:val="1AF70B3E"/>
    <w:rsid w:val="1B1464DA"/>
    <w:rsid w:val="1B55264E"/>
    <w:rsid w:val="1B5E7755"/>
    <w:rsid w:val="1B6E1760"/>
    <w:rsid w:val="1B9403E7"/>
    <w:rsid w:val="1BAD248A"/>
    <w:rsid w:val="1BE50ABD"/>
    <w:rsid w:val="1C054074"/>
    <w:rsid w:val="1C4626B5"/>
    <w:rsid w:val="1C6E7E6B"/>
    <w:rsid w:val="1C752FA8"/>
    <w:rsid w:val="1C7B7E93"/>
    <w:rsid w:val="1CC25AC1"/>
    <w:rsid w:val="1CC61A56"/>
    <w:rsid w:val="1CDA105D"/>
    <w:rsid w:val="1CDE7983"/>
    <w:rsid w:val="1CDF6673"/>
    <w:rsid w:val="1D280735"/>
    <w:rsid w:val="1D596426"/>
    <w:rsid w:val="1E123B9B"/>
    <w:rsid w:val="1E4946EC"/>
    <w:rsid w:val="1E4C1AE7"/>
    <w:rsid w:val="1EBF49AE"/>
    <w:rsid w:val="1ED02718"/>
    <w:rsid w:val="1EDF295B"/>
    <w:rsid w:val="1EF87EC0"/>
    <w:rsid w:val="1EFB350D"/>
    <w:rsid w:val="1F372797"/>
    <w:rsid w:val="1F436E6E"/>
    <w:rsid w:val="1FB060A5"/>
    <w:rsid w:val="1FB361D8"/>
    <w:rsid w:val="1FC61D6D"/>
    <w:rsid w:val="1FD71884"/>
    <w:rsid w:val="1FD75D28"/>
    <w:rsid w:val="20253C53"/>
    <w:rsid w:val="202D5948"/>
    <w:rsid w:val="203A453C"/>
    <w:rsid w:val="203E1903"/>
    <w:rsid w:val="204038CD"/>
    <w:rsid w:val="20434E40"/>
    <w:rsid w:val="20511636"/>
    <w:rsid w:val="206A26F8"/>
    <w:rsid w:val="20825C93"/>
    <w:rsid w:val="209D0D1F"/>
    <w:rsid w:val="20CC5161"/>
    <w:rsid w:val="21340004"/>
    <w:rsid w:val="21577120"/>
    <w:rsid w:val="21902632"/>
    <w:rsid w:val="219537A4"/>
    <w:rsid w:val="21D936F9"/>
    <w:rsid w:val="220646A2"/>
    <w:rsid w:val="222008D5"/>
    <w:rsid w:val="225D0766"/>
    <w:rsid w:val="22603DB2"/>
    <w:rsid w:val="227E06DD"/>
    <w:rsid w:val="229D5007"/>
    <w:rsid w:val="22B27E3A"/>
    <w:rsid w:val="22F22C45"/>
    <w:rsid w:val="231A0405"/>
    <w:rsid w:val="2322375E"/>
    <w:rsid w:val="233D7EA0"/>
    <w:rsid w:val="23636EA1"/>
    <w:rsid w:val="23FE3883"/>
    <w:rsid w:val="24244305"/>
    <w:rsid w:val="245711E5"/>
    <w:rsid w:val="247B3126"/>
    <w:rsid w:val="24B81925"/>
    <w:rsid w:val="24D12D46"/>
    <w:rsid w:val="24DB5701"/>
    <w:rsid w:val="24F15196"/>
    <w:rsid w:val="250A35F8"/>
    <w:rsid w:val="252217F3"/>
    <w:rsid w:val="2573204F"/>
    <w:rsid w:val="25A641D2"/>
    <w:rsid w:val="25E66CC5"/>
    <w:rsid w:val="25F52A64"/>
    <w:rsid w:val="26054BBA"/>
    <w:rsid w:val="26060449"/>
    <w:rsid w:val="26571970"/>
    <w:rsid w:val="265E2CFF"/>
    <w:rsid w:val="26946387"/>
    <w:rsid w:val="269843D2"/>
    <w:rsid w:val="26CD0DB0"/>
    <w:rsid w:val="26E953F1"/>
    <w:rsid w:val="26F251F5"/>
    <w:rsid w:val="270C62B7"/>
    <w:rsid w:val="27160EE4"/>
    <w:rsid w:val="273A5E7E"/>
    <w:rsid w:val="27433CA3"/>
    <w:rsid w:val="27602AA7"/>
    <w:rsid w:val="2764747E"/>
    <w:rsid w:val="27982240"/>
    <w:rsid w:val="27AC1848"/>
    <w:rsid w:val="27B25295"/>
    <w:rsid w:val="2815563F"/>
    <w:rsid w:val="28186EDD"/>
    <w:rsid w:val="281F201A"/>
    <w:rsid w:val="282615FA"/>
    <w:rsid w:val="285E0D94"/>
    <w:rsid w:val="28B25080"/>
    <w:rsid w:val="28BB4F74"/>
    <w:rsid w:val="28CF3A40"/>
    <w:rsid w:val="28E219C5"/>
    <w:rsid w:val="28E84B02"/>
    <w:rsid w:val="28EF3200"/>
    <w:rsid w:val="28EF5E90"/>
    <w:rsid w:val="2903193C"/>
    <w:rsid w:val="291D29FD"/>
    <w:rsid w:val="29361D11"/>
    <w:rsid w:val="296A5517"/>
    <w:rsid w:val="298E3260"/>
    <w:rsid w:val="299A22A0"/>
    <w:rsid w:val="29A50C45"/>
    <w:rsid w:val="29AC70D1"/>
    <w:rsid w:val="29DF7CB3"/>
    <w:rsid w:val="2A720B27"/>
    <w:rsid w:val="2A7412DF"/>
    <w:rsid w:val="2A7E3970"/>
    <w:rsid w:val="2AB253C7"/>
    <w:rsid w:val="2ABE6C2B"/>
    <w:rsid w:val="2AC901A7"/>
    <w:rsid w:val="2AFB3AB1"/>
    <w:rsid w:val="2B0F0329"/>
    <w:rsid w:val="2B2A3A2C"/>
    <w:rsid w:val="2B30453E"/>
    <w:rsid w:val="2B5D17D7"/>
    <w:rsid w:val="2B683CD8"/>
    <w:rsid w:val="2B762899"/>
    <w:rsid w:val="2B7E52A9"/>
    <w:rsid w:val="2B920D55"/>
    <w:rsid w:val="2B990335"/>
    <w:rsid w:val="2B9E594C"/>
    <w:rsid w:val="2BA70CA4"/>
    <w:rsid w:val="2BC03B14"/>
    <w:rsid w:val="2C251BC9"/>
    <w:rsid w:val="2C4A2748"/>
    <w:rsid w:val="2C83526D"/>
    <w:rsid w:val="2CCB29E4"/>
    <w:rsid w:val="2CFD7B5F"/>
    <w:rsid w:val="2D0A14EA"/>
    <w:rsid w:val="2D3B78F6"/>
    <w:rsid w:val="2D866360"/>
    <w:rsid w:val="2D9D5B09"/>
    <w:rsid w:val="2DA71D80"/>
    <w:rsid w:val="2E045F3A"/>
    <w:rsid w:val="2E532A1D"/>
    <w:rsid w:val="2E556795"/>
    <w:rsid w:val="2E975000"/>
    <w:rsid w:val="2EA80FBB"/>
    <w:rsid w:val="2ED40002"/>
    <w:rsid w:val="2EED4C39"/>
    <w:rsid w:val="2F391C13"/>
    <w:rsid w:val="2F3C5BA7"/>
    <w:rsid w:val="2F6C1017"/>
    <w:rsid w:val="2F736725"/>
    <w:rsid w:val="2F95762E"/>
    <w:rsid w:val="2FB90B28"/>
    <w:rsid w:val="2FCE2CA3"/>
    <w:rsid w:val="2FCF2577"/>
    <w:rsid w:val="2FDB2CCA"/>
    <w:rsid w:val="2FE37DD1"/>
    <w:rsid w:val="2FF43D8C"/>
    <w:rsid w:val="307C26FF"/>
    <w:rsid w:val="307D1FD3"/>
    <w:rsid w:val="30B40633"/>
    <w:rsid w:val="30CC4D09"/>
    <w:rsid w:val="30D065A7"/>
    <w:rsid w:val="315E0057"/>
    <w:rsid w:val="318178A1"/>
    <w:rsid w:val="3196159F"/>
    <w:rsid w:val="31AD0696"/>
    <w:rsid w:val="31F664E1"/>
    <w:rsid w:val="31F8501E"/>
    <w:rsid w:val="32537490"/>
    <w:rsid w:val="32A45F3D"/>
    <w:rsid w:val="32B53CA7"/>
    <w:rsid w:val="32C20171"/>
    <w:rsid w:val="32FC612F"/>
    <w:rsid w:val="32FE389F"/>
    <w:rsid w:val="3307027A"/>
    <w:rsid w:val="33A4460F"/>
    <w:rsid w:val="33B92828"/>
    <w:rsid w:val="33D2102E"/>
    <w:rsid w:val="33EA78DE"/>
    <w:rsid w:val="33F86541"/>
    <w:rsid w:val="34240674"/>
    <w:rsid w:val="342E2D1F"/>
    <w:rsid w:val="3498562E"/>
    <w:rsid w:val="34CF77B0"/>
    <w:rsid w:val="34E56573"/>
    <w:rsid w:val="34F31273"/>
    <w:rsid w:val="350902DA"/>
    <w:rsid w:val="354E2190"/>
    <w:rsid w:val="35633E8E"/>
    <w:rsid w:val="357C4DE8"/>
    <w:rsid w:val="35B45E1A"/>
    <w:rsid w:val="35F920FC"/>
    <w:rsid w:val="360F1920"/>
    <w:rsid w:val="36102196"/>
    <w:rsid w:val="362A0508"/>
    <w:rsid w:val="36317AE8"/>
    <w:rsid w:val="36321AB2"/>
    <w:rsid w:val="367774C5"/>
    <w:rsid w:val="36962041"/>
    <w:rsid w:val="36991E67"/>
    <w:rsid w:val="36C2491F"/>
    <w:rsid w:val="36C24BE4"/>
    <w:rsid w:val="36C62C57"/>
    <w:rsid w:val="370276D6"/>
    <w:rsid w:val="372C653F"/>
    <w:rsid w:val="373D24BC"/>
    <w:rsid w:val="37E50C5D"/>
    <w:rsid w:val="38253FA7"/>
    <w:rsid w:val="38356AC7"/>
    <w:rsid w:val="387C7C73"/>
    <w:rsid w:val="388F0AF6"/>
    <w:rsid w:val="38AF6844"/>
    <w:rsid w:val="38D8249D"/>
    <w:rsid w:val="38DA4164"/>
    <w:rsid w:val="38EF3C8A"/>
    <w:rsid w:val="38F60B75"/>
    <w:rsid w:val="390655FC"/>
    <w:rsid w:val="394C262B"/>
    <w:rsid w:val="395658CE"/>
    <w:rsid w:val="395835DE"/>
    <w:rsid w:val="39673821"/>
    <w:rsid w:val="39777F08"/>
    <w:rsid w:val="398E6FFF"/>
    <w:rsid w:val="399860D0"/>
    <w:rsid w:val="39A405D1"/>
    <w:rsid w:val="39D459CA"/>
    <w:rsid w:val="3A1B4490"/>
    <w:rsid w:val="3A2A4F7A"/>
    <w:rsid w:val="3A2D2A35"/>
    <w:rsid w:val="3A2D6818"/>
    <w:rsid w:val="3A6F5083"/>
    <w:rsid w:val="3A7D4766"/>
    <w:rsid w:val="3AD1189A"/>
    <w:rsid w:val="3B181276"/>
    <w:rsid w:val="3B360C3F"/>
    <w:rsid w:val="3B5B73B5"/>
    <w:rsid w:val="3B6B0DFB"/>
    <w:rsid w:val="3B820DE6"/>
    <w:rsid w:val="3BB05953"/>
    <w:rsid w:val="3BCA0106"/>
    <w:rsid w:val="3C17152E"/>
    <w:rsid w:val="3C7B7D0F"/>
    <w:rsid w:val="3C8A6967"/>
    <w:rsid w:val="3CB72DF3"/>
    <w:rsid w:val="3CE21B3C"/>
    <w:rsid w:val="3D046B7A"/>
    <w:rsid w:val="3D33524C"/>
    <w:rsid w:val="3D4B59A7"/>
    <w:rsid w:val="3D6A38DF"/>
    <w:rsid w:val="3D98669F"/>
    <w:rsid w:val="3DB73E2A"/>
    <w:rsid w:val="3DF766BE"/>
    <w:rsid w:val="3E1C72D0"/>
    <w:rsid w:val="3E7762B4"/>
    <w:rsid w:val="3EA370A9"/>
    <w:rsid w:val="3EB017C6"/>
    <w:rsid w:val="3EB412B6"/>
    <w:rsid w:val="3ECB4852"/>
    <w:rsid w:val="3EF06066"/>
    <w:rsid w:val="3EFC4A0B"/>
    <w:rsid w:val="3F23468E"/>
    <w:rsid w:val="3F3B24DF"/>
    <w:rsid w:val="3F406FEE"/>
    <w:rsid w:val="3F55490E"/>
    <w:rsid w:val="3F59543F"/>
    <w:rsid w:val="3FA57428"/>
    <w:rsid w:val="3FCB2D5B"/>
    <w:rsid w:val="3FD85478"/>
    <w:rsid w:val="3FD92731"/>
    <w:rsid w:val="3FE13CAE"/>
    <w:rsid w:val="402B55A8"/>
    <w:rsid w:val="403F2E01"/>
    <w:rsid w:val="405E1FAF"/>
    <w:rsid w:val="408829FA"/>
    <w:rsid w:val="40B52091"/>
    <w:rsid w:val="40C357E1"/>
    <w:rsid w:val="4151103E"/>
    <w:rsid w:val="415D54F4"/>
    <w:rsid w:val="41796C6D"/>
    <w:rsid w:val="41796E54"/>
    <w:rsid w:val="41CB4E3D"/>
    <w:rsid w:val="42186000"/>
    <w:rsid w:val="42424400"/>
    <w:rsid w:val="42470693"/>
    <w:rsid w:val="428B03EA"/>
    <w:rsid w:val="430D368B"/>
    <w:rsid w:val="434F77FF"/>
    <w:rsid w:val="435E3EE6"/>
    <w:rsid w:val="43853221"/>
    <w:rsid w:val="43B73CC9"/>
    <w:rsid w:val="43C26223"/>
    <w:rsid w:val="43CB4BD1"/>
    <w:rsid w:val="43CD7534"/>
    <w:rsid w:val="43D60DB0"/>
    <w:rsid w:val="43EA577A"/>
    <w:rsid w:val="440F6F8F"/>
    <w:rsid w:val="44150A49"/>
    <w:rsid w:val="44323D41"/>
    <w:rsid w:val="44366C11"/>
    <w:rsid w:val="443E41B9"/>
    <w:rsid w:val="444C44FA"/>
    <w:rsid w:val="445B42ED"/>
    <w:rsid w:val="446612A5"/>
    <w:rsid w:val="44A27E03"/>
    <w:rsid w:val="44FA379B"/>
    <w:rsid w:val="45293313"/>
    <w:rsid w:val="452D22F4"/>
    <w:rsid w:val="45303661"/>
    <w:rsid w:val="456F14C8"/>
    <w:rsid w:val="457F2762"/>
    <w:rsid w:val="459E05CA"/>
    <w:rsid w:val="45BE6EBE"/>
    <w:rsid w:val="45D06920"/>
    <w:rsid w:val="45E2495B"/>
    <w:rsid w:val="45FD1795"/>
    <w:rsid w:val="460A5C60"/>
    <w:rsid w:val="460F14C8"/>
    <w:rsid w:val="462211FB"/>
    <w:rsid w:val="466E2692"/>
    <w:rsid w:val="466F1F67"/>
    <w:rsid w:val="46713F31"/>
    <w:rsid w:val="46AE2A8F"/>
    <w:rsid w:val="46BA58D8"/>
    <w:rsid w:val="46E60C47"/>
    <w:rsid w:val="472B0583"/>
    <w:rsid w:val="475064D9"/>
    <w:rsid w:val="47C6205A"/>
    <w:rsid w:val="47C73385"/>
    <w:rsid w:val="47F170D7"/>
    <w:rsid w:val="48166B3E"/>
    <w:rsid w:val="482B7710"/>
    <w:rsid w:val="4863298F"/>
    <w:rsid w:val="48700011"/>
    <w:rsid w:val="48AB662F"/>
    <w:rsid w:val="48B6702D"/>
    <w:rsid w:val="48B7000E"/>
    <w:rsid w:val="48B73973"/>
    <w:rsid w:val="490152EE"/>
    <w:rsid w:val="495D254A"/>
    <w:rsid w:val="49647D7D"/>
    <w:rsid w:val="496B4C67"/>
    <w:rsid w:val="49787106"/>
    <w:rsid w:val="498A77E3"/>
    <w:rsid w:val="49931777"/>
    <w:rsid w:val="49C3055F"/>
    <w:rsid w:val="49D7054F"/>
    <w:rsid w:val="49F41CD3"/>
    <w:rsid w:val="49F73965"/>
    <w:rsid w:val="4A05330E"/>
    <w:rsid w:val="4A117E2B"/>
    <w:rsid w:val="4A205A52"/>
    <w:rsid w:val="4A4756D4"/>
    <w:rsid w:val="4AD54A8E"/>
    <w:rsid w:val="4B2F2866"/>
    <w:rsid w:val="4B3544BD"/>
    <w:rsid w:val="4B863A12"/>
    <w:rsid w:val="4B8C5D00"/>
    <w:rsid w:val="4BBE3774"/>
    <w:rsid w:val="4BDE7972"/>
    <w:rsid w:val="4C012815"/>
    <w:rsid w:val="4C417F01"/>
    <w:rsid w:val="4C604A40"/>
    <w:rsid w:val="4C917042"/>
    <w:rsid w:val="4CE27936"/>
    <w:rsid w:val="4D140A1C"/>
    <w:rsid w:val="4D357780"/>
    <w:rsid w:val="4D5819A6"/>
    <w:rsid w:val="4D814A59"/>
    <w:rsid w:val="4D8471A7"/>
    <w:rsid w:val="4D870A84"/>
    <w:rsid w:val="4D9F6104"/>
    <w:rsid w:val="4DFC67D6"/>
    <w:rsid w:val="4E1221A2"/>
    <w:rsid w:val="4E240CCF"/>
    <w:rsid w:val="4E2875CB"/>
    <w:rsid w:val="4E524648"/>
    <w:rsid w:val="4E5B5B47"/>
    <w:rsid w:val="4E61488B"/>
    <w:rsid w:val="4E88133D"/>
    <w:rsid w:val="4EA50C1B"/>
    <w:rsid w:val="4EC54153"/>
    <w:rsid w:val="4EEE25C2"/>
    <w:rsid w:val="4F3F4BCC"/>
    <w:rsid w:val="4F691C49"/>
    <w:rsid w:val="4F8C6473"/>
    <w:rsid w:val="4F9C3DCC"/>
    <w:rsid w:val="4FBE15D5"/>
    <w:rsid w:val="4FBF7ABB"/>
    <w:rsid w:val="4FC82E13"/>
    <w:rsid w:val="4FD25A40"/>
    <w:rsid w:val="4FDC066D"/>
    <w:rsid w:val="50D6330E"/>
    <w:rsid w:val="50D77086"/>
    <w:rsid w:val="50EA7AE4"/>
    <w:rsid w:val="50FD2620"/>
    <w:rsid w:val="51263104"/>
    <w:rsid w:val="512A5408"/>
    <w:rsid w:val="51622B48"/>
    <w:rsid w:val="517F5590"/>
    <w:rsid w:val="51932FAD"/>
    <w:rsid w:val="51EB4B97"/>
    <w:rsid w:val="520D0FB1"/>
    <w:rsid w:val="52385E3C"/>
    <w:rsid w:val="524D7600"/>
    <w:rsid w:val="52523584"/>
    <w:rsid w:val="5277269C"/>
    <w:rsid w:val="529B3663"/>
    <w:rsid w:val="52B345BD"/>
    <w:rsid w:val="52E07522"/>
    <w:rsid w:val="52F21F55"/>
    <w:rsid w:val="52F25D4B"/>
    <w:rsid w:val="52F757BE"/>
    <w:rsid w:val="53065A01"/>
    <w:rsid w:val="531719BC"/>
    <w:rsid w:val="533802B0"/>
    <w:rsid w:val="53395758"/>
    <w:rsid w:val="535861E2"/>
    <w:rsid w:val="538B364B"/>
    <w:rsid w:val="53A5521A"/>
    <w:rsid w:val="541E6914"/>
    <w:rsid w:val="545804DE"/>
    <w:rsid w:val="547F3CBD"/>
    <w:rsid w:val="54905ECA"/>
    <w:rsid w:val="549239F0"/>
    <w:rsid w:val="549C661D"/>
    <w:rsid w:val="54B648EC"/>
    <w:rsid w:val="54CB6294"/>
    <w:rsid w:val="54CC499D"/>
    <w:rsid w:val="54FE72D7"/>
    <w:rsid w:val="55A175A6"/>
    <w:rsid w:val="55C0458D"/>
    <w:rsid w:val="55C4407D"/>
    <w:rsid w:val="55D1678C"/>
    <w:rsid w:val="561D378D"/>
    <w:rsid w:val="564D4072"/>
    <w:rsid w:val="565101BC"/>
    <w:rsid w:val="567C6706"/>
    <w:rsid w:val="569A4DDE"/>
    <w:rsid w:val="569E48CE"/>
    <w:rsid w:val="56B37C4E"/>
    <w:rsid w:val="57004873"/>
    <w:rsid w:val="571701DC"/>
    <w:rsid w:val="571A2A24"/>
    <w:rsid w:val="57482A8C"/>
    <w:rsid w:val="57723665"/>
    <w:rsid w:val="57AE6D93"/>
    <w:rsid w:val="57C02622"/>
    <w:rsid w:val="57C40364"/>
    <w:rsid w:val="57E62037"/>
    <w:rsid w:val="57E9601D"/>
    <w:rsid w:val="57EE718F"/>
    <w:rsid w:val="580C3809"/>
    <w:rsid w:val="581A2C5A"/>
    <w:rsid w:val="582C5F09"/>
    <w:rsid w:val="58900246"/>
    <w:rsid w:val="5898534D"/>
    <w:rsid w:val="58DD0FB2"/>
    <w:rsid w:val="58F20F01"/>
    <w:rsid w:val="590824D3"/>
    <w:rsid w:val="590C04D1"/>
    <w:rsid w:val="59162550"/>
    <w:rsid w:val="591C7D2C"/>
    <w:rsid w:val="591F306B"/>
    <w:rsid w:val="595F4D49"/>
    <w:rsid w:val="595F6DC6"/>
    <w:rsid w:val="596A4F72"/>
    <w:rsid w:val="59725B9E"/>
    <w:rsid w:val="597A5FD6"/>
    <w:rsid w:val="59B47F65"/>
    <w:rsid w:val="59C17A81"/>
    <w:rsid w:val="5A257BA3"/>
    <w:rsid w:val="5A2C65FA"/>
    <w:rsid w:val="5A690289"/>
    <w:rsid w:val="5A843DDB"/>
    <w:rsid w:val="5A975DD8"/>
    <w:rsid w:val="5AA1673B"/>
    <w:rsid w:val="5AB20948"/>
    <w:rsid w:val="5ABD3212"/>
    <w:rsid w:val="5AD35AF9"/>
    <w:rsid w:val="5AFA5E4B"/>
    <w:rsid w:val="5B2567A0"/>
    <w:rsid w:val="5B296DA0"/>
    <w:rsid w:val="5B6F4A8B"/>
    <w:rsid w:val="5B7420A1"/>
    <w:rsid w:val="5B8D6CBF"/>
    <w:rsid w:val="5B953DC6"/>
    <w:rsid w:val="5BA87F9D"/>
    <w:rsid w:val="5BBE50CA"/>
    <w:rsid w:val="5BC1147D"/>
    <w:rsid w:val="5C052CF9"/>
    <w:rsid w:val="5C25514A"/>
    <w:rsid w:val="5C447CC6"/>
    <w:rsid w:val="5CC17F24"/>
    <w:rsid w:val="5CC22998"/>
    <w:rsid w:val="5CD01559"/>
    <w:rsid w:val="5CE46DB3"/>
    <w:rsid w:val="5CFC40FC"/>
    <w:rsid w:val="5CFE7E2F"/>
    <w:rsid w:val="5D0E3E30"/>
    <w:rsid w:val="5D14483D"/>
    <w:rsid w:val="5D2378DB"/>
    <w:rsid w:val="5D480901"/>
    <w:rsid w:val="5D64671B"/>
    <w:rsid w:val="5D830D7D"/>
    <w:rsid w:val="5D944335"/>
    <w:rsid w:val="5D964551"/>
    <w:rsid w:val="5D973E25"/>
    <w:rsid w:val="5DA14CA4"/>
    <w:rsid w:val="5DA364B1"/>
    <w:rsid w:val="5DAF116F"/>
    <w:rsid w:val="5DE06ACB"/>
    <w:rsid w:val="5E455C72"/>
    <w:rsid w:val="5E560D07"/>
    <w:rsid w:val="5E5A4713"/>
    <w:rsid w:val="5E6F6B50"/>
    <w:rsid w:val="5E757C89"/>
    <w:rsid w:val="5E822A70"/>
    <w:rsid w:val="5E8A5738"/>
    <w:rsid w:val="5ECB647C"/>
    <w:rsid w:val="5ED66BCF"/>
    <w:rsid w:val="5F182D44"/>
    <w:rsid w:val="5F337B7D"/>
    <w:rsid w:val="5F3A5449"/>
    <w:rsid w:val="5F622211"/>
    <w:rsid w:val="5FB962D5"/>
    <w:rsid w:val="5FBA6684"/>
    <w:rsid w:val="5FCA4844"/>
    <w:rsid w:val="5FF67529"/>
    <w:rsid w:val="60004B7C"/>
    <w:rsid w:val="600F05EB"/>
    <w:rsid w:val="605F4D41"/>
    <w:rsid w:val="60917251"/>
    <w:rsid w:val="60DD2497"/>
    <w:rsid w:val="60E00144"/>
    <w:rsid w:val="613025C6"/>
    <w:rsid w:val="61897F29"/>
    <w:rsid w:val="619B3990"/>
    <w:rsid w:val="61A92379"/>
    <w:rsid w:val="621023F8"/>
    <w:rsid w:val="623E6F65"/>
    <w:rsid w:val="626F711E"/>
    <w:rsid w:val="628D57F7"/>
    <w:rsid w:val="62FA228F"/>
    <w:rsid w:val="631A52DC"/>
    <w:rsid w:val="631F248C"/>
    <w:rsid w:val="633D0FCB"/>
    <w:rsid w:val="63C67212"/>
    <w:rsid w:val="63ED29F1"/>
    <w:rsid w:val="63F02927"/>
    <w:rsid w:val="64234664"/>
    <w:rsid w:val="64373C6C"/>
    <w:rsid w:val="644545DB"/>
    <w:rsid w:val="644C4FD8"/>
    <w:rsid w:val="6460766F"/>
    <w:rsid w:val="64AA08E2"/>
    <w:rsid w:val="64B41760"/>
    <w:rsid w:val="652E506F"/>
    <w:rsid w:val="654F3237"/>
    <w:rsid w:val="658630FD"/>
    <w:rsid w:val="6598698C"/>
    <w:rsid w:val="659C11BB"/>
    <w:rsid w:val="65B37C6A"/>
    <w:rsid w:val="65F8567D"/>
    <w:rsid w:val="660E5EAC"/>
    <w:rsid w:val="664803B2"/>
    <w:rsid w:val="6672542F"/>
    <w:rsid w:val="667E0D5C"/>
    <w:rsid w:val="66985D66"/>
    <w:rsid w:val="669E6224"/>
    <w:rsid w:val="66A56A24"/>
    <w:rsid w:val="671771FC"/>
    <w:rsid w:val="673B3A73"/>
    <w:rsid w:val="675B5EC3"/>
    <w:rsid w:val="67931B01"/>
    <w:rsid w:val="67BA52E0"/>
    <w:rsid w:val="68000819"/>
    <w:rsid w:val="685002FF"/>
    <w:rsid w:val="686D5EAE"/>
    <w:rsid w:val="68A8338A"/>
    <w:rsid w:val="68FE74BE"/>
    <w:rsid w:val="6905258B"/>
    <w:rsid w:val="69344C1E"/>
    <w:rsid w:val="694B07F4"/>
    <w:rsid w:val="69522765"/>
    <w:rsid w:val="696D58D1"/>
    <w:rsid w:val="69A2602B"/>
    <w:rsid w:val="6A6B0B13"/>
    <w:rsid w:val="6A815C41"/>
    <w:rsid w:val="6A837513"/>
    <w:rsid w:val="6AC83870"/>
    <w:rsid w:val="6ACB3360"/>
    <w:rsid w:val="6AD14E1A"/>
    <w:rsid w:val="6AD761A9"/>
    <w:rsid w:val="6AFE1987"/>
    <w:rsid w:val="6B2B45F0"/>
    <w:rsid w:val="6B4C44A1"/>
    <w:rsid w:val="6B686E01"/>
    <w:rsid w:val="6BAC4F3F"/>
    <w:rsid w:val="6BCC55E2"/>
    <w:rsid w:val="6BFD39ED"/>
    <w:rsid w:val="6C152AE5"/>
    <w:rsid w:val="6C2F2734"/>
    <w:rsid w:val="6C522441"/>
    <w:rsid w:val="6CA35F05"/>
    <w:rsid w:val="6CAA2399"/>
    <w:rsid w:val="6CB56076"/>
    <w:rsid w:val="6CDE381E"/>
    <w:rsid w:val="6CF16005"/>
    <w:rsid w:val="6D2D20B0"/>
    <w:rsid w:val="6D477F8D"/>
    <w:rsid w:val="6D4B2536"/>
    <w:rsid w:val="6DF36E56"/>
    <w:rsid w:val="6E070B53"/>
    <w:rsid w:val="6E0C43BB"/>
    <w:rsid w:val="6E0E0133"/>
    <w:rsid w:val="6E2C2368"/>
    <w:rsid w:val="6E7D2BC3"/>
    <w:rsid w:val="6EAB26A4"/>
    <w:rsid w:val="6EB66CF0"/>
    <w:rsid w:val="6EDD3662"/>
    <w:rsid w:val="6EF72976"/>
    <w:rsid w:val="6F3426AC"/>
    <w:rsid w:val="6F7B35A7"/>
    <w:rsid w:val="6F881820"/>
    <w:rsid w:val="6FD9651F"/>
    <w:rsid w:val="6FFF4E76"/>
    <w:rsid w:val="702754DC"/>
    <w:rsid w:val="706C1141"/>
    <w:rsid w:val="707324D0"/>
    <w:rsid w:val="70AF2E01"/>
    <w:rsid w:val="70CD6084"/>
    <w:rsid w:val="70D016D0"/>
    <w:rsid w:val="70F01D72"/>
    <w:rsid w:val="70FC0717"/>
    <w:rsid w:val="711041C2"/>
    <w:rsid w:val="71123A97"/>
    <w:rsid w:val="715F5821"/>
    <w:rsid w:val="717402AD"/>
    <w:rsid w:val="71924BD7"/>
    <w:rsid w:val="71BB2380"/>
    <w:rsid w:val="71DD6189"/>
    <w:rsid w:val="71E234FA"/>
    <w:rsid w:val="72225F5B"/>
    <w:rsid w:val="72347A3D"/>
    <w:rsid w:val="724C4D86"/>
    <w:rsid w:val="72B8241C"/>
    <w:rsid w:val="72C566D9"/>
    <w:rsid w:val="72E256EB"/>
    <w:rsid w:val="731A40C4"/>
    <w:rsid w:val="73245D03"/>
    <w:rsid w:val="732775A1"/>
    <w:rsid w:val="73685BF0"/>
    <w:rsid w:val="736B3932"/>
    <w:rsid w:val="73823244"/>
    <w:rsid w:val="739D414C"/>
    <w:rsid w:val="73D7122F"/>
    <w:rsid w:val="742C4E6F"/>
    <w:rsid w:val="747E2FD4"/>
    <w:rsid w:val="74942A15"/>
    <w:rsid w:val="74D86DA5"/>
    <w:rsid w:val="75134281"/>
    <w:rsid w:val="75297601"/>
    <w:rsid w:val="753F5076"/>
    <w:rsid w:val="754A6C16"/>
    <w:rsid w:val="754B3A1B"/>
    <w:rsid w:val="7592321B"/>
    <w:rsid w:val="75A86614"/>
    <w:rsid w:val="75F25C45"/>
    <w:rsid w:val="75FA4D51"/>
    <w:rsid w:val="762B73A9"/>
    <w:rsid w:val="764854BC"/>
    <w:rsid w:val="766A1C7F"/>
    <w:rsid w:val="76C92E49"/>
    <w:rsid w:val="76DC3145"/>
    <w:rsid w:val="76EE065D"/>
    <w:rsid w:val="776808B4"/>
    <w:rsid w:val="77901BB9"/>
    <w:rsid w:val="77B04009"/>
    <w:rsid w:val="77E912C9"/>
    <w:rsid w:val="77F65DDE"/>
    <w:rsid w:val="780A196C"/>
    <w:rsid w:val="7836450F"/>
    <w:rsid w:val="785C1A9B"/>
    <w:rsid w:val="787B4617"/>
    <w:rsid w:val="78B43685"/>
    <w:rsid w:val="78EB6D4A"/>
    <w:rsid w:val="793C2C90"/>
    <w:rsid w:val="7940693E"/>
    <w:rsid w:val="79556C16"/>
    <w:rsid w:val="796B643A"/>
    <w:rsid w:val="797F1EE5"/>
    <w:rsid w:val="79893F1E"/>
    <w:rsid w:val="79A92B2C"/>
    <w:rsid w:val="79AE27CB"/>
    <w:rsid w:val="79EE0E19"/>
    <w:rsid w:val="79F6478D"/>
    <w:rsid w:val="7A044199"/>
    <w:rsid w:val="7A33053A"/>
    <w:rsid w:val="7A41363F"/>
    <w:rsid w:val="7A5A200A"/>
    <w:rsid w:val="7A5E5F9F"/>
    <w:rsid w:val="7A721A4A"/>
    <w:rsid w:val="7A7B26AD"/>
    <w:rsid w:val="7A8F703C"/>
    <w:rsid w:val="7AAB648D"/>
    <w:rsid w:val="7AB67B89"/>
    <w:rsid w:val="7AD65B35"/>
    <w:rsid w:val="7AF83CFD"/>
    <w:rsid w:val="7B5353D8"/>
    <w:rsid w:val="7B5E6496"/>
    <w:rsid w:val="7B7A261E"/>
    <w:rsid w:val="7B863B58"/>
    <w:rsid w:val="7BA93249"/>
    <w:rsid w:val="7C18217D"/>
    <w:rsid w:val="7C217284"/>
    <w:rsid w:val="7C3C2310"/>
    <w:rsid w:val="7C742918"/>
    <w:rsid w:val="7C793A0B"/>
    <w:rsid w:val="7C865EDA"/>
    <w:rsid w:val="7C8A0A05"/>
    <w:rsid w:val="7C8A4E29"/>
    <w:rsid w:val="7CB820F7"/>
    <w:rsid w:val="7CC013CA"/>
    <w:rsid w:val="7CC02178"/>
    <w:rsid w:val="7CE86B63"/>
    <w:rsid w:val="7CF7099A"/>
    <w:rsid w:val="7D000799"/>
    <w:rsid w:val="7D0D7808"/>
    <w:rsid w:val="7D480840"/>
    <w:rsid w:val="7D5A0C9F"/>
    <w:rsid w:val="7DB008BF"/>
    <w:rsid w:val="7DB12889"/>
    <w:rsid w:val="7DFA7D8C"/>
    <w:rsid w:val="7E152481"/>
    <w:rsid w:val="7E1E2589"/>
    <w:rsid w:val="7E424159"/>
    <w:rsid w:val="7E675B77"/>
    <w:rsid w:val="7ECD36F3"/>
    <w:rsid w:val="7EE474BA"/>
    <w:rsid w:val="7EE60311"/>
    <w:rsid w:val="7EFF6818"/>
    <w:rsid w:val="7F030EC3"/>
    <w:rsid w:val="7F3619FD"/>
    <w:rsid w:val="7F522A16"/>
    <w:rsid w:val="7F5259A6"/>
    <w:rsid w:val="7F572FBC"/>
    <w:rsid w:val="7FDD1714"/>
    <w:rsid w:val="7FDE1AAF"/>
    <w:rsid w:val="7FFE4BB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qFormat="1" w:uiPriority="99" w:name="index 1"/>
    <w:lsdException w:qFormat="1" w:uiPriority="99" w:name="index 2"/>
    <w:lsdException w:qFormat="1" w:uiPriority="99" w:name="index 3"/>
    <w:lsdException w:qFormat="1" w:uiPriority="99" w:name="index 4"/>
    <w:lsdException w:qFormat="1" w:uiPriority="99" w:name="index 5"/>
    <w:lsdException w:qFormat="1" w:uiPriority="99" w:name="index 6"/>
    <w:lsdException w:qFormat="1" w:uiPriority="99" w:name="index 7"/>
    <w:lsdException w:qFormat="1" w:uiPriority="99" w:name="index 8"/>
    <w:lsdException w:qFormat="1"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iPriority="99" w:name="footnote text"/>
    <w:lsdException w:qFormat="1" w:uiPriority="99" w:name="annotation text"/>
    <w:lsdException w:qFormat="1" w:unhideWhenUsed="0" w:uiPriority="0" w:semiHidden="0" w:name="header"/>
    <w:lsdException w:qFormat="1" w:unhideWhenUsed="0" w:uiPriority="99" w:semiHidden="0" w:name="footer"/>
    <w:lsdException w:qFormat="1" w:uiPriority="99" w:name="index heading"/>
    <w:lsdException w:qFormat="1" w:unhideWhenUsed="0" w:uiPriority="0" w:semiHidden="0" w:name="caption"/>
    <w:lsdException w:qFormat="1" w:unhideWhenUsed="0" w:uiPriority="99" w:name="table of figures"/>
    <w:lsdException w:qFormat="1" w:uiPriority="99" w:name="envelope address"/>
    <w:lsdException w:qFormat="1" w:uiPriority="99" w:name="envelope return"/>
    <w:lsdException w:qFormat="1" w:uiPriority="99" w:name="footnote reference"/>
    <w:lsdException w:qFormat="1" w:uiPriority="99" w:semiHidden="0" w:name="annotation reference"/>
    <w:lsdException w:qFormat="1" w:uiPriority="99" w:name="line number"/>
    <w:lsdException w:qFormat="1" w:unhideWhenUsed="0" w:uiPriority="0" w:semiHidden="0" w:name="page number"/>
    <w:lsdException w:qFormat="1" w:uiPriority="99" w:name="endnote reference"/>
    <w:lsdException w:qFormat="1" w:uiPriority="99" w:name="endnote text"/>
    <w:lsdException w:qFormat="1" w:uiPriority="99" w:name="table of authorities"/>
    <w:lsdException w:qFormat="1" w:uiPriority="99" w:name="macro"/>
    <w:lsdException w:qFormat="1" w:uiPriority="99" w:name="toa heading"/>
    <w:lsdException w:qFormat="1" w:uiPriority="99" w:name="List"/>
    <w:lsdException w:qFormat="1" w:uiPriority="99" w:name="List Bullet"/>
    <w:lsdException w:qFormat="1" w:uiPriority="99" w:name="List Number"/>
    <w:lsdException w:qFormat="1" w:uiPriority="99" w:name="List 2"/>
    <w:lsdException w:qFormat="1" w:uiPriority="99" w:name="List 3"/>
    <w:lsdException w:qFormat="1" w:uiPriority="99" w:name="List 4"/>
    <w:lsdException w:qFormat="1" w:uiPriority="99" w:name="List 5"/>
    <w:lsdException w:qFormat="1" w:uiPriority="99" w:name="List Bullet 2"/>
    <w:lsdException w:qFormat="1" w:uiPriority="99" w:name="List Bullet 3"/>
    <w:lsdException w:qFormat="1" w:uiPriority="99" w:name="List Bullet 4"/>
    <w:lsdException w:qFormat="1" w:uiPriority="99" w:name="List Bullet 5"/>
    <w:lsdException w:qFormat="1" w:uiPriority="99" w:name="List Number 2"/>
    <w:lsdException w:qFormat="1" w:uiPriority="99" w:name="List Number 3"/>
    <w:lsdException w:qFormat="1" w:uiPriority="99" w:name="List Number 4"/>
    <w:lsdException w:qFormat="1" w:uiPriority="99" w:name="List Number 5"/>
    <w:lsdException w:qFormat="1" w:unhideWhenUsed="0" w:uiPriority="10" w:semiHidden="0" w:name="Title"/>
    <w:lsdException w:qFormat="1" w:uiPriority="99" w:name="Closing"/>
    <w:lsdException w:qFormat="1" w:uiPriority="99" w:name="Signature"/>
    <w:lsdException w:qFormat="1" w:uiPriority="1" w:name="Default Paragraph Font"/>
    <w:lsdException w:qFormat="1" w:unhideWhenUsed="0" w:uiPriority="99" w:semiHidden="0" w:name="Body Text"/>
    <w:lsdException w:qFormat="1" w:unhideWhenUsed="0" w:uiPriority="99" w:semiHidden="0" w:name="Body Text Indent"/>
    <w:lsdException w:qFormat="1" w:uiPriority="99" w:name="List Continue"/>
    <w:lsdException w:qFormat="1" w:uiPriority="99" w:name="List Continue 2"/>
    <w:lsdException w:qFormat="1" w:uiPriority="99" w:name="List Continue 3"/>
    <w:lsdException w:qFormat="1" w:uiPriority="99" w:name="List Continue 4"/>
    <w:lsdException w:qFormat="1" w:uiPriority="99" w:name="List Continue 5"/>
    <w:lsdException w:qFormat="1" w:uiPriority="99" w:name="Message Header"/>
    <w:lsdException w:qFormat="1" w:unhideWhenUsed="0" w:uiPriority="11" w:semiHidden="0" w:name="Subtitle"/>
    <w:lsdException w:qFormat="1" w:unhideWhenUsed="0" w:uiPriority="99" w:semiHidden="0" w:name="Salutation"/>
    <w:lsdException w:qFormat="1" w:unhideWhenUsed="0" w:uiPriority="99" w:semiHidden="0" w:name="Date"/>
    <w:lsdException w:qFormat="1" w:unhideWhenUsed="0" w:uiPriority="99" w:semiHidden="0" w:name="Body Text First Indent"/>
    <w:lsdException w:qFormat="1" w:uiPriority="99" w:name="Body Text First Indent 2"/>
    <w:lsdException w:qFormat="1" w:uiPriority="99" w:name="Note Heading"/>
    <w:lsdException w:qFormat="1" w:unhideWhenUsed="0" w:uiPriority="99" w:semiHidden="0" w:name="Body Text 2"/>
    <w:lsdException w:qFormat="1" w:uiPriority="99" w:name="Body Text 3"/>
    <w:lsdException w:qFormat="1" w:unhideWhenUsed="0" w:uiPriority="99" w:semiHidden="0" w:name="Body Text Indent 2"/>
    <w:lsdException w:qFormat="1" w:unhideWhenUsed="0" w:uiPriority="99" w:semiHidden="0" w:name="Body Text Indent 3"/>
    <w:lsdException w:qFormat="1" w:uiPriority="99" w:name="Block Text"/>
    <w:lsdException w:qFormat="1" w:unhideWhenUsed="0"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nhideWhenUsed="0" w:uiPriority="99" w:name="Document Map"/>
    <w:lsdException w:qFormat="1" w:unhideWhenUsed="0" w:uiPriority="0" w:semiHidden="0" w:name="Plain Text"/>
    <w:lsdException w:qFormat="1" w:uiPriority="99" w:name="E-mail Signature"/>
    <w:lsdException w:qFormat="1" w:uiPriority="99" w:semiHidden="0" w:name="Normal (Web)"/>
    <w:lsdException w:qFormat="1" w:uiPriority="99" w:name="HTML Acronym"/>
    <w:lsdException w:qFormat="1" w:uiPriority="99" w:name="HTML Address"/>
    <w:lsdException w:qFormat="1" w:uiPriority="99" w:name="HTML Cite"/>
    <w:lsdException w:qFormat="1" w:uiPriority="99" w:name="HTML Code"/>
    <w:lsdException w:qFormat="1" w:uiPriority="99" w:name="HTML Definition"/>
    <w:lsdException w:qFormat="1" w:uiPriority="99" w:name="HTML Keyboard"/>
    <w:lsdException w:qFormat="1" w:uiPriority="99" w:name="HTML Preformatted"/>
    <w:lsdException w:qFormat="1" w:uiPriority="99" w:name="HTML Sample"/>
    <w:lsdException w:qFormat="1" w:uiPriority="99" w:name="HTML Typewriter"/>
    <w:lsdException w:qFormat="1" w:uiPriority="99" w:name="HTML Variable"/>
    <w:lsdException w:qFormat="1" w:uiPriority="99" w:name="Normal Table"/>
    <w:lsdException w:qFormat="1" w:uiPriority="99" w:name="annotation subject"/>
    <w:lsdException w:qFormat="1" w:uiPriority="99" w:name="Table Simple 1"/>
    <w:lsdException w:qFormat="1" w:uiPriority="99" w:name="Table Simple 2"/>
    <w:lsdException w:qFormat="1" w:uiPriority="99" w:name="Table Simple 3"/>
    <w:lsdException w:qFormat="1" w:uiPriority="99" w:name="Table Classic 1"/>
    <w:lsdException w:qFormat="1" w:uiPriority="99" w:name="Table Classic 2"/>
    <w:lsdException w:qFormat="1" w:uiPriority="99" w:name="Table Classic 3"/>
    <w:lsdException w:qFormat="1" w:uiPriority="99" w:name="Table Classic 4"/>
    <w:lsdException w:qFormat="1" w:uiPriority="99" w:name="Table Colorful 1"/>
    <w:lsdException w:qFormat="1" w:uiPriority="99" w:name="Table Colorful 2"/>
    <w:lsdException w:qFormat="1" w:uiPriority="99" w:name="Table Colorful 3"/>
    <w:lsdException w:qFormat="1" w:uiPriority="99" w:name="Table Columns 1"/>
    <w:lsdException w:qFormat="1" w:uiPriority="99" w:name="Table Columns 2"/>
    <w:lsdException w:qFormat="1" w:uiPriority="99" w:name="Table Columns 3"/>
    <w:lsdException w:qFormat="1" w:uiPriority="99" w:name="Table Columns 4"/>
    <w:lsdException w:qFormat="1" w:uiPriority="99" w:name="Table Columns 5"/>
    <w:lsdException w:qFormat="1" w:uiPriority="99" w:name="Table Grid 1"/>
    <w:lsdException w:qFormat="1" w:uiPriority="99" w:name="Table Grid 2"/>
    <w:lsdException w:qFormat="1" w:uiPriority="99" w:name="Table Grid 3"/>
    <w:lsdException w:qFormat="1" w:uiPriority="99" w:name="Table Grid 4"/>
    <w:lsdException w:qFormat="1" w:uiPriority="99" w:name="Table Grid 5"/>
    <w:lsdException w:qFormat="1" w:uiPriority="99" w:name="Table Grid 6"/>
    <w:lsdException w:qFormat="1" w:uiPriority="99" w:name="Table Grid 7"/>
    <w:lsdException w:qFormat="1" w:uiPriority="99" w:name="Table Grid 8"/>
    <w:lsdException w:qFormat="1" w:uiPriority="99" w:name="Table List 1"/>
    <w:lsdException w:qFormat="1" w:uiPriority="99" w:name="Table List 2"/>
    <w:lsdException w:qFormat="1" w:uiPriority="99" w:name="Table List 3"/>
    <w:lsdException w:qFormat="1" w:uiPriority="99" w:name="Table List 4"/>
    <w:lsdException w:qFormat="1" w:uiPriority="99" w:name="Table List 5"/>
    <w:lsdException w:qFormat="1" w:uiPriority="99" w:name="Table List 6"/>
    <w:lsdException w:qFormat="1" w:uiPriority="99" w:name="Table List 7"/>
    <w:lsdException w:qFormat="1" w:uiPriority="99" w:name="Table List 8"/>
    <w:lsdException w:qFormat="1" w:uiPriority="99" w:name="Table 3D effects 1"/>
    <w:lsdException w:qFormat="1" w:uiPriority="99" w:name="Table 3D effects 2"/>
    <w:lsdException w:qFormat="1" w:uiPriority="99" w:name="Table 3D effects 3"/>
    <w:lsdException w:qFormat="1" w:uiPriority="99" w:name="Table Contemporary"/>
    <w:lsdException w:qFormat="1" w:unhideWhenUsed="0" w:uiPriority="99" w:semiHidden="0" w:name="Table Elegant"/>
    <w:lsdException w:qFormat="1" w:uiPriority="99" w:name="Table Professional"/>
    <w:lsdException w:qFormat="1" w:uiPriority="99" w:name="Table Subtle 1"/>
    <w:lsdException w:qFormat="1" w:uiPriority="99" w:name="Table Subtle 2"/>
    <w:lsdException w:qFormat="1" w:uiPriority="99" w:name="Table Web 1"/>
    <w:lsdException w:qFormat="1" w:uiPriority="99" w:name="Table Web 2"/>
    <w:lsdException w:qFormat="1" w:uiPriority="99" w:name="Table Web 3"/>
    <w:lsdException w:qFormat="1" w:uiPriority="99" w:name="Balloon Text"/>
    <w:lsdException w:qFormat="1" w:unhideWhenUsed="0" w:uiPriority="99" w:semiHidden="0" w:name="Table Grid"/>
    <w:lsdException w:qFormat="1" w:uiPriority="99" w:name="Table Theme"/>
    <w:lsdException w:qFormat="1" w:unhideWhenUsed="0" w:uiPriority="99" w:name="Placeholder Text"/>
    <w:lsdException w:qFormat="1" w:unhideWhenUsed="0" w:uiPriority="1" w:semiHidden="0" w:name="No Spacing"/>
    <w:lsdException w:qFormat="1" w:unhideWhenUsed="0" w:uiPriority="60" w:semiHidden="0" w:name="Light Shading"/>
    <w:lsdException w:qFormat="1" w:unhideWhenUsed="0" w:uiPriority="61" w:semiHidden="0" w:name="Light List"/>
    <w:lsdException w:qFormat="1" w:unhideWhenUsed="0" w:uiPriority="62" w:semiHidden="0" w:name="Light Grid"/>
    <w:lsdException w:qFormat="1" w:unhideWhenUsed="0" w:uiPriority="63" w:semiHidden="0" w:name="Medium Shading 1"/>
    <w:lsdException w:qFormat="1" w:unhideWhenUsed="0" w:uiPriority="64" w:semiHidden="0" w:name="Medium Shading 2"/>
    <w:lsdException w:qFormat="1" w:unhideWhenUsed="0" w:uiPriority="65" w:semiHidden="0" w:name="Medium List 1"/>
    <w:lsdException w:qFormat="1" w:unhideWhenUsed="0" w:uiPriority="66" w:semiHidden="0" w:name="Medium List 2"/>
    <w:lsdException w:qFormat="1" w:unhideWhenUsed="0" w:uiPriority="67" w:semiHidden="0" w:name="Medium Grid 1"/>
    <w:lsdException w:qFormat="1" w:unhideWhenUsed="0" w:uiPriority="68" w:semiHidden="0" w:name="Medium Grid 2"/>
    <w:lsdException w:qFormat="1" w:unhideWhenUsed="0" w:uiPriority="69" w:semiHidden="0" w:name="Medium Grid 3"/>
    <w:lsdException w:qFormat="1" w:unhideWhenUsed="0" w:uiPriority="70" w:semiHidden="0" w:name="Dark List"/>
    <w:lsdException w:qFormat="1" w:unhideWhenUsed="0" w:uiPriority="71" w:semiHidden="0" w:name="Colorful Shading"/>
    <w:lsdException w:qFormat="1" w:unhideWhenUsed="0" w:uiPriority="72" w:semiHidden="0" w:name="Colorful List"/>
    <w:lsdException w:qFormat="1" w:unhideWhenUsed="0" w:uiPriority="73" w:semiHidden="0" w:name="Colorful Grid"/>
    <w:lsdException w:qFormat="1" w:unhideWhenUsed="0" w:uiPriority="60" w:semiHidden="0" w:name="Light Shading Accent 1"/>
    <w:lsdException w:qFormat="1" w:unhideWhenUsed="0" w:uiPriority="61" w:semiHidden="0" w:name="Light List Accent 1"/>
    <w:lsdException w:qFormat="1" w:unhideWhenUsed="0" w:uiPriority="62" w:semiHidden="0" w:name="Light Grid Accent 1"/>
    <w:lsdException w:qFormat="1" w:unhideWhenUsed="0" w:uiPriority="63" w:semiHidden="0" w:name="Medium Shading 1 Accent 1"/>
    <w:lsdException w:qFormat="1" w:unhideWhenUsed="0" w:uiPriority="64" w:semiHidden="0" w:name="Medium Shading 2 Accent 1"/>
    <w:lsdException w:qFormat="1" w:unhideWhenUsed="0" w:uiPriority="65" w:semiHidden="0" w:name="Medium List 1 Accent 1"/>
    <w:lsdException w:qFormat="1" w:uiPriority="34" w:semiHidden="0" w:name="List Paragraph"/>
    <w:lsdException w:qFormat="1" w:unhideWhenUsed="0" w:uiPriority="29" w:semiHidden="0" w:name="Quote"/>
    <w:lsdException w:qFormat="1" w:unhideWhenUsed="0" w:uiPriority="30" w:semiHidden="0" w:name="Intense Quote"/>
    <w:lsdException w:qFormat="1" w:unhideWhenUsed="0" w:uiPriority="66" w:semiHidden="0" w:name="Medium List 2 Accent 1"/>
    <w:lsdException w:qFormat="1" w:unhideWhenUsed="0" w:uiPriority="67" w:semiHidden="0" w:name="Medium Grid 1 Accent 1"/>
    <w:lsdException w:qFormat="1" w:unhideWhenUsed="0" w:uiPriority="68" w:semiHidden="0" w:name="Medium Grid 2 Accent 1"/>
    <w:lsdException w:qFormat="1" w:unhideWhenUsed="0" w:uiPriority="69" w:semiHidden="0" w:name="Medium Grid 3 Accent 1"/>
    <w:lsdException w:qFormat="1" w:unhideWhenUsed="0" w:uiPriority="70" w:semiHidden="0" w:name="Dark List Accent 1"/>
    <w:lsdException w:qFormat="1" w:unhideWhenUsed="0" w:uiPriority="71" w:semiHidden="0" w:name="Colorful Shading Accent 1"/>
    <w:lsdException w:qFormat="1" w:unhideWhenUsed="0" w:uiPriority="72" w:semiHidden="0" w:name="Colorful List Accent 1"/>
    <w:lsdException w:qFormat="1" w:unhideWhenUsed="0" w:uiPriority="73" w:semiHidden="0" w:name="Colorful Grid Accent 1"/>
    <w:lsdException w:qFormat="1" w:unhideWhenUsed="0" w:uiPriority="60" w:semiHidden="0" w:name="Light Shading Accent 2"/>
    <w:lsdException w:qFormat="1" w:unhideWhenUsed="0" w:uiPriority="61" w:semiHidden="0" w:name="Light List Accent 2"/>
    <w:lsdException w:qFormat="1" w:unhideWhenUsed="0" w:uiPriority="62" w:semiHidden="0" w:name="Light Grid Accent 2"/>
    <w:lsdException w:qFormat="1" w:unhideWhenUsed="0" w:uiPriority="63" w:semiHidden="0" w:name="Medium Shading 1 Accent 2"/>
    <w:lsdException w:qFormat="1" w:unhideWhenUsed="0" w:uiPriority="64" w:semiHidden="0" w:name="Medium Shading 2 Accent 2"/>
    <w:lsdException w:qFormat="1" w:unhideWhenUsed="0" w:uiPriority="65" w:semiHidden="0" w:name="Medium List 1 Accent 2"/>
    <w:lsdException w:qFormat="1" w:unhideWhenUsed="0" w:uiPriority="66" w:semiHidden="0" w:name="Medium List 2 Accent 2"/>
    <w:lsdException w:qFormat="1" w:unhideWhenUsed="0" w:uiPriority="67" w:semiHidden="0" w:name="Medium Grid 1 Accent 2"/>
    <w:lsdException w:qFormat="1" w:unhideWhenUsed="0" w:uiPriority="68" w:semiHidden="0" w:name="Medium Grid 2 Accent 2"/>
    <w:lsdException w:qFormat="1" w:unhideWhenUsed="0" w:uiPriority="69" w:semiHidden="0" w:name="Medium Grid 3 Accent 2"/>
    <w:lsdException w:qFormat="1" w:unhideWhenUsed="0" w:uiPriority="70" w:semiHidden="0" w:name="Dark List Accent 2"/>
    <w:lsdException w:qFormat="1" w:unhideWhenUsed="0" w:uiPriority="71" w:semiHidden="0" w:name="Colorful Shading Accent 2"/>
    <w:lsdException w:qFormat="1" w:unhideWhenUsed="0" w:uiPriority="72" w:semiHidden="0" w:name="Colorful List Accent 2"/>
    <w:lsdException w:qFormat="1" w:unhideWhenUsed="0" w:uiPriority="73" w:semiHidden="0" w:name="Colorful Grid Accent 2"/>
    <w:lsdException w:qFormat="1" w:unhideWhenUsed="0" w:uiPriority="60" w:semiHidden="0" w:name="Light Shading Accent 3"/>
    <w:lsdException w:qFormat="1" w:unhideWhenUsed="0" w:uiPriority="61" w:semiHidden="0" w:name="Light List Accent 3"/>
    <w:lsdException w:qFormat="1" w:unhideWhenUsed="0" w:uiPriority="62" w:semiHidden="0" w:name="Light Grid Accent 3"/>
    <w:lsdException w:qFormat="1" w:unhideWhenUsed="0" w:uiPriority="63" w:semiHidden="0" w:name="Medium Shading 1 Accent 3"/>
    <w:lsdException w:qFormat="1" w:unhideWhenUsed="0" w:uiPriority="64" w:semiHidden="0" w:name="Medium Shading 2 Accent 3"/>
    <w:lsdException w:qFormat="1" w:unhideWhenUsed="0" w:uiPriority="65" w:semiHidden="0" w:name="Medium List 1 Accent 3"/>
    <w:lsdException w:qFormat="1" w:unhideWhenUsed="0" w:uiPriority="66" w:semiHidden="0" w:name="Medium List 2 Accent 3"/>
    <w:lsdException w:qFormat="1" w:unhideWhenUsed="0" w:uiPriority="67" w:semiHidden="0" w:name="Medium Grid 1 Accent 3"/>
    <w:lsdException w:qFormat="1" w:unhideWhenUsed="0" w:uiPriority="68" w:semiHidden="0" w:name="Medium Grid 2 Accent 3"/>
    <w:lsdException w:qFormat="1" w:unhideWhenUsed="0" w:uiPriority="69" w:semiHidden="0" w:name="Medium Grid 3 Accent 3"/>
    <w:lsdException w:qFormat="1" w:unhideWhenUsed="0" w:uiPriority="70" w:semiHidden="0" w:name="Dark List Accent 3"/>
    <w:lsdException w:qFormat="1" w:unhideWhenUsed="0" w:uiPriority="71" w:semiHidden="0" w:name="Colorful Shading Accent 3"/>
    <w:lsdException w:qFormat="1" w:unhideWhenUsed="0" w:uiPriority="72" w:semiHidden="0" w:name="Colorful List Accent 3"/>
    <w:lsdException w:qFormat="1" w:unhideWhenUsed="0" w:uiPriority="73" w:semiHidden="0" w:name="Colorful Grid Accent 3"/>
    <w:lsdException w:qFormat="1" w:unhideWhenUsed="0" w:uiPriority="60" w:semiHidden="0" w:name="Light Shading Accent 4"/>
    <w:lsdException w:qFormat="1" w:unhideWhenUsed="0" w:uiPriority="61" w:semiHidden="0" w:name="Light List Accent 4"/>
    <w:lsdException w:qFormat="1" w:unhideWhenUsed="0" w:uiPriority="62" w:semiHidden="0" w:name="Light Grid Accent 4"/>
    <w:lsdException w:qFormat="1" w:unhideWhenUsed="0" w:uiPriority="63" w:semiHidden="0" w:name="Medium Shading 1 Accent 4"/>
    <w:lsdException w:qFormat="1" w:unhideWhenUsed="0" w:uiPriority="64" w:semiHidden="0" w:name="Medium Shading 2 Accent 4"/>
    <w:lsdException w:qFormat="1" w:unhideWhenUsed="0" w:uiPriority="65" w:semiHidden="0" w:name="Medium List 1 Accent 4"/>
    <w:lsdException w:qFormat="1" w:unhideWhenUsed="0" w:uiPriority="66" w:semiHidden="0" w:name="Medium List 2 Accent 4"/>
    <w:lsdException w:qFormat="1" w:unhideWhenUsed="0" w:uiPriority="67" w:semiHidden="0" w:name="Medium Grid 1 Accent 4"/>
    <w:lsdException w:qFormat="1" w:unhideWhenUsed="0" w:uiPriority="68" w:semiHidden="0" w:name="Medium Grid 2 Accent 4"/>
    <w:lsdException w:qFormat="1" w:unhideWhenUsed="0" w:uiPriority="69" w:semiHidden="0" w:name="Medium Grid 3 Accent 4"/>
    <w:lsdException w:qFormat="1" w:unhideWhenUsed="0" w:uiPriority="70" w:semiHidden="0" w:name="Dark List Accent 4"/>
    <w:lsdException w:qFormat="1" w:unhideWhenUsed="0" w:uiPriority="71" w:semiHidden="0" w:name="Colorful Shading Accent 4"/>
    <w:lsdException w:qFormat="1" w:unhideWhenUsed="0" w:uiPriority="72" w:semiHidden="0" w:name="Colorful List Accent 4"/>
    <w:lsdException w:qFormat="1" w:unhideWhenUsed="0" w:uiPriority="73" w:semiHidden="0" w:name="Colorful Grid Accent 4"/>
    <w:lsdException w:qFormat="1" w:unhideWhenUsed="0" w:uiPriority="60" w:semiHidden="0" w:name="Light Shading Accent 5"/>
    <w:lsdException w:qFormat="1" w:unhideWhenUsed="0" w:uiPriority="61" w:semiHidden="0" w:name="Light List Accent 5"/>
    <w:lsdException w:qFormat="1" w:unhideWhenUsed="0" w:uiPriority="62" w:semiHidden="0" w:name="Light Grid Accent 5"/>
    <w:lsdException w:qFormat="1" w:unhideWhenUsed="0" w:uiPriority="63" w:semiHidden="0" w:name="Medium Shading 1 Accent 5"/>
    <w:lsdException w:qFormat="1" w:unhideWhenUsed="0" w:uiPriority="64" w:semiHidden="0" w:name="Medium Shading 2 Accent 5"/>
    <w:lsdException w:qFormat="1" w:unhideWhenUsed="0" w:uiPriority="65" w:semiHidden="0" w:name="Medium List 1 Accent 5"/>
    <w:lsdException w:qFormat="1" w:unhideWhenUsed="0" w:uiPriority="66" w:semiHidden="0" w:name="Medium List 2 Accent 5"/>
    <w:lsdException w:qFormat="1" w:unhideWhenUsed="0" w:uiPriority="67" w:semiHidden="0" w:name="Medium Grid 1 Accent 5"/>
    <w:lsdException w:qFormat="1" w:unhideWhenUsed="0" w:uiPriority="68" w:semiHidden="0" w:name="Medium Grid 2 Accent 5"/>
    <w:lsdException w:qFormat="1" w:unhideWhenUsed="0" w:uiPriority="69" w:semiHidden="0" w:name="Medium Grid 3 Accent 5"/>
    <w:lsdException w:qFormat="1" w:unhideWhenUsed="0" w:uiPriority="70" w:semiHidden="0" w:name="Dark List Accent 5"/>
    <w:lsdException w:qFormat="1" w:unhideWhenUsed="0" w:uiPriority="71" w:semiHidden="0" w:name="Colorful Shading Accent 5"/>
    <w:lsdException w:qFormat="1" w:unhideWhenUsed="0" w:uiPriority="72" w:semiHidden="0" w:name="Colorful List Accent 5"/>
    <w:lsdException w:qFormat="1" w:unhideWhenUsed="0" w:uiPriority="73" w:semiHidden="0" w:name="Colorful Grid Accent 5"/>
    <w:lsdException w:qFormat="1" w:unhideWhenUsed="0" w:uiPriority="60" w:semiHidden="0" w:name="Light Shading Accent 6"/>
    <w:lsdException w:qFormat="1" w:unhideWhenUsed="0" w:uiPriority="61" w:semiHidden="0" w:name="Light List Accent 6"/>
    <w:lsdException w:qFormat="1" w:unhideWhenUsed="0" w:uiPriority="62" w:semiHidden="0" w:name="Light Grid Accent 6"/>
    <w:lsdException w:qFormat="1" w:unhideWhenUsed="0" w:uiPriority="63" w:semiHidden="0" w:name="Medium Shading 1 Accent 6"/>
    <w:lsdException w:qFormat="1" w:unhideWhenUsed="0" w:uiPriority="64" w:semiHidden="0" w:name="Medium Shading 2 Accent 6"/>
    <w:lsdException w:qFormat="1" w:unhideWhenUsed="0" w:uiPriority="65" w:semiHidden="0" w:name="Medium List 1 Accent 6"/>
    <w:lsdException w:qFormat="1" w:unhideWhenUsed="0" w:uiPriority="66" w:semiHidden="0" w:name="Medium List 2 Accent 6"/>
    <w:lsdException w:qFormat="1" w:unhideWhenUsed="0" w:uiPriority="67" w:semiHidden="0" w:name="Medium Grid 1 Accent 6"/>
    <w:lsdException w:qFormat="1" w:unhideWhenUsed="0" w:uiPriority="68" w:semiHidden="0" w:name="Medium Grid 2 Accent 6"/>
    <w:lsdException w:qFormat="1" w:unhideWhenUsed="0" w:uiPriority="69" w:semiHidden="0" w:name="Medium Grid 3 Accent 6"/>
    <w:lsdException w:qFormat="1" w:unhideWhenUsed="0" w:uiPriority="70" w:semiHidden="0" w:name="Dark List Accent 6"/>
    <w:lsdException w:qFormat="1" w:unhideWhenUsed="0" w:uiPriority="71" w:semiHidden="0" w:name="Colorful Shading Accent 6"/>
    <w:lsdException w:qFormat="1" w:unhideWhenUsed="0" w:uiPriority="72" w:semiHidden="0" w:name="Colorful List Accent 6"/>
    <w:lsdException w:qFormat="1" w:unhideWhenUsed="0" w:uiPriority="73" w:semiHidden="0" w:name="Colorful Grid Accent 6"/>
  </w:latentStyles>
  <w:style w:type="paragraph" w:default="1" w:styleId="1">
    <w:name w:val="Normal"/>
    <w:autoRedefine/>
    <w:qFormat/>
    <w:uiPriority w:val="0"/>
    <w:pPr>
      <w:widowControl w:val="0"/>
      <w:adjustRightInd w:val="0"/>
      <w:snapToGrid w:val="0"/>
      <w:spacing w:line="360" w:lineRule="auto"/>
      <w:ind w:firstLine="480" w:firstLineChars="200"/>
      <w:jc w:val="both"/>
    </w:pPr>
    <w:rPr>
      <w:rFonts w:ascii="仿宋_GB2312" w:hAnsi="Calibri" w:eastAsia="仿宋_GB2312" w:cs="Times New Roman"/>
      <w:kern w:val="2"/>
      <w:sz w:val="24"/>
      <w:szCs w:val="24"/>
      <w:lang w:val="en-US" w:eastAsia="zh-CN" w:bidi="ar-SA"/>
    </w:rPr>
  </w:style>
  <w:style w:type="paragraph" w:styleId="3">
    <w:name w:val="heading 1"/>
    <w:basedOn w:val="1"/>
    <w:next w:val="1"/>
    <w:link w:val="253"/>
    <w:autoRedefine/>
    <w:qFormat/>
    <w:uiPriority w:val="9"/>
    <w:pPr>
      <w:spacing w:before="326" w:beforeLines="100"/>
      <w:ind w:firstLine="0" w:firstLineChars="0"/>
      <w:jc w:val="left"/>
      <w:outlineLvl w:val="0"/>
    </w:pPr>
    <w:rPr>
      <w:rFonts w:hAnsi="宋体" w:cs="仿宋_GB2312"/>
      <w:b/>
      <w:sz w:val="30"/>
      <w:szCs w:val="30"/>
    </w:rPr>
  </w:style>
  <w:style w:type="paragraph" w:styleId="4">
    <w:name w:val="heading 2"/>
    <w:basedOn w:val="1"/>
    <w:next w:val="1"/>
    <w:link w:val="254"/>
    <w:autoRedefine/>
    <w:unhideWhenUsed/>
    <w:qFormat/>
    <w:uiPriority w:val="9"/>
    <w:pPr>
      <w:spacing w:before="326" w:beforeLines="100"/>
      <w:ind w:firstLine="0" w:firstLineChars="0"/>
      <w:jc w:val="left"/>
      <w:outlineLvl w:val="1"/>
    </w:pPr>
    <w:rPr>
      <w:rFonts w:hAnsi="宋体" w:cs="宋体"/>
      <w:b/>
      <w:iCs/>
      <w:spacing w:val="8"/>
      <w:kern w:val="0"/>
      <w:sz w:val="28"/>
      <w:szCs w:val="28"/>
    </w:rPr>
  </w:style>
  <w:style w:type="paragraph" w:styleId="5">
    <w:name w:val="heading 3"/>
    <w:basedOn w:val="1"/>
    <w:next w:val="1"/>
    <w:link w:val="255"/>
    <w:unhideWhenUsed/>
    <w:qFormat/>
    <w:uiPriority w:val="9"/>
    <w:pPr>
      <w:widowControl/>
      <w:tabs>
        <w:tab w:val="left" w:pos="1918"/>
      </w:tabs>
      <w:ind w:firstLine="0" w:firstLineChars="0"/>
      <w:outlineLvl w:val="2"/>
    </w:pPr>
    <w:rPr>
      <w:rFonts w:hAnsi="仿宋_GB2312" w:cs="宋体"/>
      <w:b/>
      <w:kern w:val="0"/>
      <w:szCs w:val="28"/>
    </w:rPr>
  </w:style>
  <w:style w:type="paragraph" w:styleId="6">
    <w:name w:val="heading 4"/>
    <w:basedOn w:val="1"/>
    <w:next w:val="1"/>
    <w:link w:val="307"/>
    <w:autoRedefine/>
    <w:unhideWhenUsed/>
    <w:qFormat/>
    <w:uiPriority w:val="9"/>
    <w:pPr>
      <w:outlineLvl w:val="3"/>
    </w:pPr>
    <w:rPr>
      <w:rFonts w:hAnsi="仿宋_GB2312" w:cs="仿宋_GB2312"/>
      <w:kern w:val="0"/>
      <w:szCs w:val="28"/>
    </w:rPr>
  </w:style>
  <w:style w:type="paragraph" w:styleId="7">
    <w:name w:val="heading 5"/>
    <w:basedOn w:val="1"/>
    <w:next w:val="1"/>
    <w:link w:val="308"/>
    <w:autoRedefine/>
    <w:unhideWhenUsed/>
    <w:qFormat/>
    <w:uiPriority w:val="9"/>
    <w:pPr>
      <w:outlineLvl w:val="4"/>
    </w:pPr>
    <w:rPr>
      <w:bCs/>
      <w:iCs/>
      <w:kern w:val="0"/>
      <w:szCs w:val="26"/>
    </w:rPr>
  </w:style>
  <w:style w:type="paragraph" w:styleId="8">
    <w:name w:val="heading 6"/>
    <w:basedOn w:val="1"/>
    <w:next w:val="1"/>
    <w:link w:val="342"/>
    <w:unhideWhenUsed/>
    <w:qFormat/>
    <w:uiPriority w:val="9"/>
    <w:pPr>
      <w:widowControl/>
      <w:adjustRightInd/>
      <w:snapToGrid/>
      <w:spacing w:before="240" w:after="60" w:line="240" w:lineRule="auto"/>
      <w:ind w:firstLine="0" w:firstLineChars="0"/>
      <w:jc w:val="left"/>
      <w:outlineLvl w:val="5"/>
    </w:pPr>
    <w:rPr>
      <w:rFonts w:asciiTheme="minorHAnsi" w:hAnsiTheme="minorHAnsi" w:eastAsiaTheme="minorEastAsia" w:cstheme="minorBidi"/>
      <w:b/>
      <w:bCs/>
      <w:kern w:val="0"/>
      <w:sz w:val="22"/>
      <w:szCs w:val="22"/>
    </w:rPr>
  </w:style>
  <w:style w:type="paragraph" w:styleId="9">
    <w:name w:val="heading 7"/>
    <w:basedOn w:val="1"/>
    <w:next w:val="1"/>
    <w:link w:val="343"/>
    <w:autoRedefine/>
    <w:unhideWhenUsed/>
    <w:qFormat/>
    <w:uiPriority w:val="9"/>
    <w:pPr>
      <w:widowControl/>
      <w:adjustRightInd/>
      <w:snapToGrid/>
      <w:spacing w:before="240" w:after="60" w:line="240" w:lineRule="auto"/>
      <w:ind w:firstLine="0" w:firstLineChars="0"/>
      <w:jc w:val="left"/>
      <w:outlineLvl w:val="6"/>
    </w:pPr>
    <w:rPr>
      <w:rFonts w:asciiTheme="minorHAnsi" w:hAnsiTheme="minorHAnsi" w:eastAsiaTheme="minorEastAsia" w:cstheme="minorBidi"/>
      <w:kern w:val="0"/>
    </w:rPr>
  </w:style>
  <w:style w:type="paragraph" w:styleId="10">
    <w:name w:val="heading 8"/>
    <w:basedOn w:val="1"/>
    <w:next w:val="1"/>
    <w:link w:val="344"/>
    <w:autoRedefine/>
    <w:unhideWhenUsed/>
    <w:qFormat/>
    <w:uiPriority w:val="9"/>
    <w:pPr>
      <w:widowControl/>
      <w:adjustRightInd/>
      <w:snapToGrid/>
      <w:spacing w:before="240" w:after="60" w:line="240" w:lineRule="auto"/>
      <w:ind w:firstLine="0" w:firstLineChars="0"/>
      <w:jc w:val="left"/>
      <w:outlineLvl w:val="7"/>
    </w:pPr>
    <w:rPr>
      <w:rFonts w:asciiTheme="minorHAnsi" w:hAnsiTheme="minorHAnsi" w:eastAsiaTheme="minorEastAsia" w:cstheme="minorBidi"/>
      <w:i/>
      <w:iCs/>
      <w:kern w:val="0"/>
    </w:rPr>
  </w:style>
  <w:style w:type="paragraph" w:styleId="11">
    <w:name w:val="heading 9"/>
    <w:basedOn w:val="1"/>
    <w:next w:val="1"/>
    <w:link w:val="345"/>
    <w:unhideWhenUsed/>
    <w:qFormat/>
    <w:uiPriority w:val="9"/>
    <w:pPr>
      <w:widowControl/>
      <w:adjustRightInd/>
      <w:snapToGrid/>
      <w:spacing w:before="240" w:after="60" w:line="240" w:lineRule="auto"/>
      <w:ind w:firstLine="0" w:firstLineChars="0"/>
      <w:jc w:val="left"/>
      <w:outlineLvl w:val="8"/>
    </w:pPr>
    <w:rPr>
      <w:rFonts w:asciiTheme="majorHAnsi" w:hAnsiTheme="majorHAnsi" w:eastAsiaTheme="majorEastAsia" w:cstheme="minorBidi"/>
      <w:kern w:val="0"/>
      <w:sz w:val="22"/>
      <w:szCs w:val="22"/>
    </w:rPr>
  </w:style>
  <w:style w:type="character" w:default="1" w:styleId="231">
    <w:name w:val="Default Paragraph Font"/>
    <w:autoRedefine/>
    <w:semiHidden/>
    <w:unhideWhenUsed/>
    <w:qFormat/>
    <w:uiPriority w:val="1"/>
  </w:style>
  <w:style w:type="table" w:default="1" w:styleId="88">
    <w:name w:val="Normal Table"/>
    <w:autoRedefine/>
    <w:semiHidden/>
    <w:unhideWhenUsed/>
    <w:qFormat/>
    <w:uiPriority w:val="99"/>
    <w:tblPr>
      <w:tblCellMar>
        <w:top w:w="0" w:type="dxa"/>
        <w:left w:w="108" w:type="dxa"/>
        <w:bottom w:w="0" w:type="dxa"/>
        <w:right w:w="108" w:type="dxa"/>
      </w:tblCellMar>
    </w:tblPr>
  </w:style>
  <w:style w:type="paragraph" w:styleId="2">
    <w:name w:val="macro"/>
    <w:link w:val="355"/>
    <w:autoRedefine/>
    <w:semiHidden/>
    <w:unhideWhenUsed/>
    <w:qFormat/>
    <w:uiPriority w:val="9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eastAsia="宋体" w:cs="Courier New"/>
      <w:kern w:val="2"/>
      <w:sz w:val="24"/>
      <w:szCs w:val="24"/>
      <w:lang w:val="en-US" w:eastAsia="zh-CN" w:bidi="ar-SA"/>
    </w:rPr>
  </w:style>
  <w:style w:type="paragraph" w:styleId="12">
    <w:name w:val="List 3"/>
    <w:basedOn w:val="1"/>
    <w:autoRedefine/>
    <w:semiHidden/>
    <w:unhideWhenUsed/>
    <w:qFormat/>
    <w:uiPriority w:val="99"/>
    <w:pPr>
      <w:widowControl/>
      <w:adjustRightInd/>
      <w:snapToGrid/>
      <w:spacing w:line="240" w:lineRule="auto"/>
      <w:ind w:left="100" w:leftChars="400" w:hanging="200" w:hangingChars="200"/>
      <w:contextualSpacing/>
      <w:jc w:val="left"/>
    </w:pPr>
    <w:rPr>
      <w:rFonts w:asciiTheme="minorHAnsi" w:hAnsiTheme="minorHAnsi" w:eastAsiaTheme="minorEastAsia" w:cstheme="minorBidi"/>
      <w:kern w:val="0"/>
    </w:rPr>
  </w:style>
  <w:style w:type="paragraph" w:styleId="13">
    <w:name w:val="toc 7"/>
    <w:basedOn w:val="1"/>
    <w:next w:val="1"/>
    <w:qFormat/>
    <w:uiPriority w:val="39"/>
    <w:pPr>
      <w:ind w:left="1200" w:leftChars="1200"/>
    </w:pPr>
  </w:style>
  <w:style w:type="paragraph" w:styleId="14">
    <w:name w:val="List Number 2"/>
    <w:basedOn w:val="1"/>
    <w:autoRedefine/>
    <w:semiHidden/>
    <w:unhideWhenUsed/>
    <w:qFormat/>
    <w:uiPriority w:val="99"/>
    <w:pPr>
      <w:widowControl/>
      <w:numPr>
        <w:ilvl w:val="0"/>
        <w:numId w:val="1"/>
      </w:numPr>
      <w:adjustRightInd/>
      <w:snapToGrid/>
      <w:spacing w:line="240" w:lineRule="auto"/>
      <w:contextualSpacing/>
      <w:jc w:val="left"/>
    </w:pPr>
    <w:rPr>
      <w:rFonts w:asciiTheme="minorHAnsi" w:hAnsiTheme="minorHAnsi" w:eastAsiaTheme="minorEastAsia" w:cstheme="minorBidi"/>
      <w:kern w:val="0"/>
    </w:rPr>
  </w:style>
  <w:style w:type="paragraph" w:styleId="15">
    <w:name w:val="table of authorities"/>
    <w:basedOn w:val="1"/>
    <w:next w:val="1"/>
    <w:autoRedefine/>
    <w:semiHidden/>
    <w:unhideWhenUsed/>
    <w:qFormat/>
    <w:uiPriority w:val="99"/>
    <w:pPr>
      <w:widowControl/>
      <w:adjustRightInd/>
      <w:snapToGrid/>
      <w:spacing w:line="240" w:lineRule="auto"/>
      <w:ind w:left="420" w:leftChars="200" w:firstLine="0" w:firstLineChars="0"/>
      <w:jc w:val="left"/>
    </w:pPr>
    <w:rPr>
      <w:rFonts w:asciiTheme="minorHAnsi" w:hAnsiTheme="minorHAnsi" w:eastAsiaTheme="minorEastAsia" w:cstheme="minorBidi"/>
      <w:kern w:val="0"/>
    </w:rPr>
  </w:style>
  <w:style w:type="paragraph" w:styleId="16">
    <w:name w:val="Note Heading"/>
    <w:basedOn w:val="1"/>
    <w:next w:val="1"/>
    <w:link w:val="356"/>
    <w:autoRedefine/>
    <w:semiHidden/>
    <w:unhideWhenUsed/>
    <w:qFormat/>
    <w:uiPriority w:val="99"/>
    <w:pPr>
      <w:widowControl/>
      <w:adjustRightInd/>
      <w:snapToGrid/>
      <w:spacing w:line="240" w:lineRule="auto"/>
      <w:ind w:firstLine="0" w:firstLineChars="0"/>
      <w:jc w:val="center"/>
    </w:pPr>
    <w:rPr>
      <w:rFonts w:asciiTheme="minorHAnsi" w:hAnsiTheme="minorHAnsi" w:eastAsiaTheme="minorEastAsia" w:cstheme="minorBidi"/>
      <w:kern w:val="0"/>
    </w:rPr>
  </w:style>
  <w:style w:type="paragraph" w:styleId="17">
    <w:name w:val="List Bullet 4"/>
    <w:basedOn w:val="1"/>
    <w:autoRedefine/>
    <w:semiHidden/>
    <w:unhideWhenUsed/>
    <w:qFormat/>
    <w:uiPriority w:val="99"/>
    <w:pPr>
      <w:widowControl/>
      <w:numPr>
        <w:ilvl w:val="0"/>
        <w:numId w:val="2"/>
      </w:numPr>
      <w:adjustRightInd/>
      <w:snapToGrid/>
      <w:spacing w:line="240" w:lineRule="auto"/>
      <w:contextualSpacing/>
      <w:jc w:val="left"/>
    </w:pPr>
    <w:rPr>
      <w:rFonts w:asciiTheme="minorHAnsi" w:hAnsiTheme="minorHAnsi" w:eastAsiaTheme="minorEastAsia" w:cstheme="minorBidi"/>
      <w:kern w:val="0"/>
    </w:rPr>
  </w:style>
  <w:style w:type="paragraph" w:styleId="18">
    <w:name w:val="index 8"/>
    <w:basedOn w:val="1"/>
    <w:next w:val="1"/>
    <w:semiHidden/>
    <w:unhideWhenUsed/>
    <w:qFormat/>
    <w:uiPriority w:val="99"/>
    <w:pPr>
      <w:widowControl/>
      <w:adjustRightInd/>
      <w:snapToGrid/>
      <w:spacing w:line="240" w:lineRule="auto"/>
      <w:ind w:left="1400" w:leftChars="1400" w:firstLine="0" w:firstLineChars="0"/>
      <w:jc w:val="left"/>
    </w:pPr>
    <w:rPr>
      <w:rFonts w:asciiTheme="minorHAnsi" w:hAnsiTheme="minorHAnsi" w:eastAsiaTheme="minorEastAsia" w:cstheme="minorBidi"/>
      <w:kern w:val="0"/>
    </w:rPr>
  </w:style>
  <w:style w:type="paragraph" w:styleId="19">
    <w:name w:val="E-mail Signature"/>
    <w:basedOn w:val="1"/>
    <w:link w:val="357"/>
    <w:autoRedefine/>
    <w:semiHidden/>
    <w:unhideWhenUsed/>
    <w:qFormat/>
    <w:uiPriority w:val="99"/>
    <w:pPr>
      <w:widowControl/>
      <w:adjustRightInd/>
      <w:snapToGrid/>
      <w:spacing w:line="240" w:lineRule="auto"/>
      <w:ind w:firstLine="0" w:firstLineChars="0"/>
      <w:jc w:val="left"/>
    </w:pPr>
    <w:rPr>
      <w:rFonts w:asciiTheme="minorHAnsi" w:hAnsiTheme="minorHAnsi" w:eastAsiaTheme="minorEastAsia" w:cstheme="minorBidi"/>
      <w:kern w:val="0"/>
    </w:rPr>
  </w:style>
  <w:style w:type="paragraph" w:styleId="20">
    <w:name w:val="List Number"/>
    <w:basedOn w:val="1"/>
    <w:autoRedefine/>
    <w:semiHidden/>
    <w:unhideWhenUsed/>
    <w:qFormat/>
    <w:uiPriority w:val="99"/>
    <w:pPr>
      <w:widowControl/>
      <w:numPr>
        <w:ilvl w:val="0"/>
        <w:numId w:val="3"/>
      </w:numPr>
      <w:adjustRightInd/>
      <w:snapToGrid/>
      <w:spacing w:line="240" w:lineRule="auto"/>
      <w:contextualSpacing/>
      <w:jc w:val="left"/>
    </w:pPr>
    <w:rPr>
      <w:rFonts w:asciiTheme="minorHAnsi" w:hAnsiTheme="minorHAnsi" w:eastAsiaTheme="minorEastAsia" w:cstheme="minorBidi"/>
      <w:kern w:val="0"/>
    </w:rPr>
  </w:style>
  <w:style w:type="paragraph" w:styleId="21">
    <w:name w:val="Normal Indent"/>
    <w:basedOn w:val="1"/>
    <w:next w:val="22"/>
    <w:link w:val="302"/>
    <w:autoRedefine/>
    <w:qFormat/>
    <w:uiPriority w:val="0"/>
    <w:pPr>
      <w:ind w:firstLine="420"/>
    </w:pPr>
  </w:style>
  <w:style w:type="paragraph" w:styleId="22">
    <w:name w:val="Body Text"/>
    <w:basedOn w:val="1"/>
    <w:link w:val="251"/>
    <w:autoRedefine/>
    <w:qFormat/>
    <w:uiPriority w:val="99"/>
  </w:style>
  <w:style w:type="paragraph" w:styleId="23">
    <w:name w:val="caption"/>
    <w:basedOn w:val="1"/>
    <w:next w:val="1"/>
    <w:qFormat/>
    <w:uiPriority w:val="0"/>
    <w:rPr>
      <w:rFonts w:ascii="Cambria" w:hAnsi="Cambria" w:eastAsia="黑体"/>
      <w:b/>
      <w:szCs w:val="20"/>
    </w:rPr>
  </w:style>
  <w:style w:type="paragraph" w:styleId="24">
    <w:name w:val="index 5"/>
    <w:basedOn w:val="1"/>
    <w:next w:val="1"/>
    <w:autoRedefine/>
    <w:semiHidden/>
    <w:unhideWhenUsed/>
    <w:qFormat/>
    <w:uiPriority w:val="99"/>
    <w:pPr>
      <w:widowControl/>
      <w:adjustRightInd/>
      <w:snapToGrid/>
      <w:spacing w:line="240" w:lineRule="auto"/>
      <w:ind w:left="800" w:leftChars="800" w:firstLine="0" w:firstLineChars="0"/>
      <w:jc w:val="left"/>
    </w:pPr>
    <w:rPr>
      <w:rFonts w:asciiTheme="minorHAnsi" w:hAnsiTheme="minorHAnsi" w:eastAsiaTheme="minorEastAsia" w:cstheme="minorBidi"/>
      <w:kern w:val="0"/>
    </w:rPr>
  </w:style>
  <w:style w:type="paragraph" w:styleId="25">
    <w:name w:val="List Bullet"/>
    <w:basedOn w:val="1"/>
    <w:autoRedefine/>
    <w:semiHidden/>
    <w:unhideWhenUsed/>
    <w:qFormat/>
    <w:uiPriority w:val="99"/>
    <w:pPr>
      <w:widowControl/>
      <w:numPr>
        <w:ilvl w:val="0"/>
        <w:numId w:val="4"/>
      </w:numPr>
      <w:adjustRightInd/>
      <w:snapToGrid/>
      <w:spacing w:line="240" w:lineRule="auto"/>
      <w:contextualSpacing/>
      <w:jc w:val="left"/>
    </w:pPr>
    <w:rPr>
      <w:rFonts w:asciiTheme="minorHAnsi" w:hAnsiTheme="minorHAnsi" w:eastAsiaTheme="minorEastAsia" w:cstheme="minorBidi"/>
      <w:kern w:val="0"/>
    </w:rPr>
  </w:style>
  <w:style w:type="paragraph" w:styleId="26">
    <w:name w:val="envelope address"/>
    <w:basedOn w:val="1"/>
    <w:autoRedefine/>
    <w:semiHidden/>
    <w:unhideWhenUsed/>
    <w:qFormat/>
    <w:uiPriority w:val="99"/>
    <w:pPr>
      <w:framePr w:w="7920" w:h="1980" w:hRule="exact" w:hSpace="180" w:wrap="around" w:vAnchor="margin" w:hAnchor="page" w:xAlign="center" w:yAlign="bottom"/>
      <w:widowControl/>
      <w:adjustRightInd/>
      <w:spacing w:line="240" w:lineRule="auto"/>
      <w:ind w:left="100" w:leftChars="1400" w:firstLine="0" w:firstLineChars="0"/>
      <w:jc w:val="left"/>
    </w:pPr>
    <w:rPr>
      <w:rFonts w:asciiTheme="majorHAnsi" w:hAnsiTheme="majorHAnsi" w:eastAsiaTheme="majorEastAsia" w:cstheme="majorBidi"/>
      <w:kern w:val="0"/>
    </w:rPr>
  </w:style>
  <w:style w:type="paragraph" w:styleId="27">
    <w:name w:val="Document Map"/>
    <w:basedOn w:val="1"/>
    <w:link w:val="267"/>
    <w:autoRedefine/>
    <w:semiHidden/>
    <w:qFormat/>
    <w:uiPriority w:val="99"/>
    <w:pPr>
      <w:shd w:val="clear" w:color="auto" w:fill="000080"/>
    </w:pPr>
  </w:style>
  <w:style w:type="paragraph" w:styleId="28">
    <w:name w:val="toa heading"/>
    <w:basedOn w:val="1"/>
    <w:next w:val="1"/>
    <w:autoRedefine/>
    <w:semiHidden/>
    <w:unhideWhenUsed/>
    <w:qFormat/>
    <w:uiPriority w:val="99"/>
    <w:pPr>
      <w:widowControl/>
      <w:adjustRightInd/>
      <w:snapToGrid/>
      <w:spacing w:before="120" w:line="240" w:lineRule="auto"/>
      <w:ind w:firstLine="0" w:firstLineChars="0"/>
      <w:jc w:val="left"/>
    </w:pPr>
    <w:rPr>
      <w:rFonts w:eastAsia="宋体" w:asciiTheme="majorHAnsi" w:hAnsiTheme="majorHAnsi" w:cstheme="majorBidi"/>
      <w:kern w:val="0"/>
    </w:rPr>
  </w:style>
  <w:style w:type="paragraph" w:styleId="29">
    <w:name w:val="annotation text"/>
    <w:basedOn w:val="1"/>
    <w:link w:val="358"/>
    <w:semiHidden/>
    <w:unhideWhenUsed/>
    <w:qFormat/>
    <w:uiPriority w:val="99"/>
    <w:pPr>
      <w:widowControl/>
      <w:adjustRightInd/>
      <w:snapToGrid/>
      <w:spacing w:line="240" w:lineRule="auto"/>
      <w:ind w:firstLine="0" w:firstLineChars="0"/>
      <w:jc w:val="left"/>
    </w:pPr>
    <w:rPr>
      <w:rFonts w:asciiTheme="minorHAnsi" w:hAnsiTheme="minorHAnsi" w:eastAsiaTheme="minorEastAsia" w:cstheme="minorBidi"/>
      <w:kern w:val="0"/>
    </w:rPr>
  </w:style>
  <w:style w:type="paragraph" w:styleId="30">
    <w:name w:val="index 6"/>
    <w:basedOn w:val="1"/>
    <w:next w:val="1"/>
    <w:autoRedefine/>
    <w:semiHidden/>
    <w:unhideWhenUsed/>
    <w:qFormat/>
    <w:uiPriority w:val="99"/>
    <w:pPr>
      <w:widowControl/>
      <w:adjustRightInd/>
      <w:snapToGrid/>
      <w:spacing w:line="240" w:lineRule="auto"/>
      <w:ind w:left="1000" w:leftChars="1000" w:firstLine="0" w:firstLineChars="0"/>
      <w:jc w:val="left"/>
    </w:pPr>
    <w:rPr>
      <w:rFonts w:asciiTheme="minorHAnsi" w:hAnsiTheme="minorHAnsi" w:eastAsiaTheme="minorEastAsia" w:cstheme="minorBidi"/>
      <w:kern w:val="0"/>
    </w:rPr>
  </w:style>
  <w:style w:type="paragraph" w:styleId="31">
    <w:name w:val="Salutation"/>
    <w:basedOn w:val="1"/>
    <w:next w:val="1"/>
    <w:link w:val="268"/>
    <w:qFormat/>
    <w:uiPriority w:val="99"/>
  </w:style>
  <w:style w:type="paragraph" w:styleId="32">
    <w:name w:val="Body Text 3"/>
    <w:basedOn w:val="1"/>
    <w:link w:val="359"/>
    <w:autoRedefine/>
    <w:semiHidden/>
    <w:unhideWhenUsed/>
    <w:qFormat/>
    <w:uiPriority w:val="99"/>
    <w:pPr>
      <w:widowControl/>
      <w:adjustRightInd/>
      <w:snapToGrid/>
      <w:spacing w:after="120" w:line="240" w:lineRule="auto"/>
      <w:ind w:firstLine="0" w:firstLineChars="0"/>
      <w:jc w:val="left"/>
    </w:pPr>
    <w:rPr>
      <w:rFonts w:asciiTheme="minorHAnsi" w:hAnsiTheme="minorHAnsi" w:eastAsiaTheme="minorEastAsia" w:cstheme="minorBidi"/>
      <w:kern w:val="0"/>
      <w:sz w:val="16"/>
      <w:szCs w:val="16"/>
    </w:rPr>
  </w:style>
  <w:style w:type="paragraph" w:styleId="33">
    <w:name w:val="Closing"/>
    <w:basedOn w:val="1"/>
    <w:link w:val="360"/>
    <w:autoRedefine/>
    <w:semiHidden/>
    <w:unhideWhenUsed/>
    <w:qFormat/>
    <w:uiPriority w:val="99"/>
    <w:pPr>
      <w:widowControl/>
      <w:adjustRightInd/>
      <w:snapToGrid/>
      <w:spacing w:line="240" w:lineRule="auto"/>
      <w:ind w:left="100" w:leftChars="2100" w:firstLine="0" w:firstLineChars="0"/>
      <w:jc w:val="left"/>
    </w:pPr>
    <w:rPr>
      <w:rFonts w:asciiTheme="minorHAnsi" w:hAnsiTheme="minorHAnsi" w:eastAsiaTheme="minorEastAsia" w:cstheme="minorBidi"/>
      <w:kern w:val="0"/>
    </w:rPr>
  </w:style>
  <w:style w:type="paragraph" w:styleId="34">
    <w:name w:val="List Bullet 3"/>
    <w:basedOn w:val="1"/>
    <w:semiHidden/>
    <w:unhideWhenUsed/>
    <w:qFormat/>
    <w:uiPriority w:val="99"/>
    <w:pPr>
      <w:widowControl/>
      <w:numPr>
        <w:ilvl w:val="0"/>
        <w:numId w:val="5"/>
      </w:numPr>
      <w:adjustRightInd/>
      <w:snapToGrid/>
      <w:spacing w:line="240" w:lineRule="auto"/>
      <w:contextualSpacing/>
      <w:jc w:val="left"/>
    </w:pPr>
    <w:rPr>
      <w:rFonts w:asciiTheme="minorHAnsi" w:hAnsiTheme="minorHAnsi" w:eastAsiaTheme="minorEastAsia" w:cstheme="minorBidi"/>
      <w:kern w:val="0"/>
    </w:rPr>
  </w:style>
  <w:style w:type="paragraph" w:styleId="35">
    <w:name w:val="Body Text Indent"/>
    <w:basedOn w:val="1"/>
    <w:link w:val="269"/>
    <w:autoRedefine/>
    <w:qFormat/>
    <w:uiPriority w:val="99"/>
    <w:pPr>
      <w:ind w:firstLine="570"/>
    </w:pPr>
  </w:style>
  <w:style w:type="paragraph" w:styleId="36">
    <w:name w:val="List Number 3"/>
    <w:basedOn w:val="1"/>
    <w:autoRedefine/>
    <w:semiHidden/>
    <w:unhideWhenUsed/>
    <w:qFormat/>
    <w:uiPriority w:val="99"/>
    <w:pPr>
      <w:widowControl/>
      <w:numPr>
        <w:ilvl w:val="0"/>
        <w:numId w:val="6"/>
      </w:numPr>
      <w:adjustRightInd/>
      <w:snapToGrid/>
      <w:spacing w:line="240" w:lineRule="auto"/>
      <w:contextualSpacing/>
      <w:jc w:val="left"/>
    </w:pPr>
    <w:rPr>
      <w:rFonts w:asciiTheme="minorHAnsi" w:hAnsiTheme="minorHAnsi" w:eastAsiaTheme="minorEastAsia" w:cstheme="minorBidi"/>
      <w:kern w:val="0"/>
    </w:rPr>
  </w:style>
  <w:style w:type="paragraph" w:styleId="37">
    <w:name w:val="List 2"/>
    <w:basedOn w:val="1"/>
    <w:autoRedefine/>
    <w:semiHidden/>
    <w:unhideWhenUsed/>
    <w:qFormat/>
    <w:uiPriority w:val="99"/>
    <w:pPr>
      <w:widowControl/>
      <w:adjustRightInd/>
      <w:snapToGrid/>
      <w:spacing w:line="240" w:lineRule="auto"/>
      <w:ind w:left="100" w:leftChars="200" w:hanging="200" w:hangingChars="200"/>
      <w:contextualSpacing/>
      <w:jc w:val="left"/>
    </w:pPr>
    <w:rPr>
      <w:rFonts w:asciiTheme="minorHAnsi" w:hAnsiTheme="minorHAnsi" w:eastAsiaTheme="minorEastAsia" w:cstheme="minorBidi"/>
      <w:kern w:val="0"/>
    </w:rPr>
  </w:style>
  <w:style w:type="paragraph" w:styleId="38">
    <w:name w:val="List Continue"/>
    <w:basedOn w:val="1"/>
    <w:autoRedefine/>
    <w:semiHidden/>
    <w:unhideWhenUsed/>
    <w:qFormat/>
    <w:uiPriority w:val="99"/>
    <w:pPr>
      <w:widowControl/>
      <w:adjustRightInd/>
      <w:snapToGrid/>
      <w:spacing w:after="120" w:line="240" w:lineRule="auto"/>
      <w:ind w:left="420" w:leftChars="200" w:firstLine="0" w:firstLineChars="0"/>
      <w:contextualSpacing/>
      <w:jc w:val="left"/>
    </w:pPr>
    <w:rPr>
      <w:rFonts w:asciiTheme="minorHAnsi" w:hAnsiTheme="minorHAnsi" w:eastAsiaTheme="minorEastAsia" w:cstheme="minorBidi"/>
      <w:kern w:val="0"/>
    </w:rPr>
  </w:style>
  <w:style w:type="paragraph" w:styleId="39">
    <w:name w:val="Block Text"/>
    <w:basedOn w:val="1"/>
    <w:autoRedefine/>
    <w:semiHidden/>
    <w:unhideWhenUsed/>
    <w:qFormat/>
    <w:uiPriority w:val="99"/>
    <w:pPr>
      <w:widowControl/>
      <w:adjustRightInd/>
      <w:snapToGrid/>
      <w:spacing w:after="120" w:line="240" w:lineRule="auto"/>
      <w:ind w:left="1440" w:leftChars="700" w:right="1440" w:rightChars="700" w:firstLine="0" w:firstLineChars="0"/>
      <w:jc w:val="left"/>
    </w:pPr>
    <w:rPr>
      <w:rFonts w:asciiTheme="minorHAnsi" w:hAnsiTheme="minorHAnsi" w:eastAsiaTheme="minorEastAsia" w:cstheme="minorBidi"/>
      <w:kern w:val="0"/>
    </w:rPr>
  </w:style>
  <w:style w:type="paragraph" w:styleId="40">
    <w:name w:val="List Bullet 2"/>
    <w:basedOn w:val="1"/>
    <w:autoRedefine/>
    <w:semiHidden/>
    <w:unhideWhenUsed/>
    <w:qFormat/>
    <w:uiPriority w:val="99"/>
    <w:pPr>
      <w:widowControl/>
      <w:numPr>
        <w:ilvl w:val="0"/>
        <w:numId w:val="7"/>
      </w:numPr>
      <w:adjustRightInd/>
      <w:snapToGrid/>
      <w:spacing w:line="240" w:lineRule="auto"/>
      <w:contextualSpacing/>
      <w:jc w:val="left"/>
    </w:pPr>
    <w:rPr>
      <w:rFonts w:asciiTheme="minorHAnsi" w:hAnsiTheme="minorHAnsi" w:eastAsiaTheme="minorEastAsia" w:cstheme="minorBidi"/>
      <w:kern w:val="0"/>
    </w:rPr>
  </w:style>
  <w:style w:type="paragraph" w:styleId="41">
    <w:name w:val="HTML Address"/>
    <w:basedOn w:val="1"/>
    <w:link w:val="361"/>
    <w:semiHidden/>
    <w:unhideWhenUsed/>
    <w:qFormat/>
    <w:uiPriority w:val="99"/>
    <w:pPr>
      <w:widowControl/>
      <w:adjustRightInd/>
      <w:snapToGrid/>
      <w:spacing w:line="240" w:lineRule="auto"/>
      <w:ind w:firstLine="0" w:firstLineChars="0"/>
      <w:jc w:val="left"/>
    </w:pPr>
    <w:rPr>
      <w:rFonts w:asciiTheme="minorHAnsi" w:hAnsiTheme="minorHAnsi" w:eastAsiaTheme="minorEastAsia" w:cstheme="minorBidi"/>
      <w:i/>
      <w:iCs/>
      <w:kern w:val="0"/>
    </w:rPr>
  </w:style>
  <w:style w:type="paragraph" w:styleId="42">
    <w:name w:val="index 4"/>
    <w:basedOn w:val="1"/>
    <w:next w:val="1"/>
    <w:autoRedefine/>
    <w:semiHidden/>
    <w:unhideWhenUsed/>
    <w:qFormat/>
    <w:uiPriority w:val="99"/>
    <w:pPr>
      <w:widowControl/>
      <w:adjustRightInd/>
      <w:snapToGrid/>
      <w:spacing w:line="240" w:lineRule="auto"/>
      <w:ind w:left="600" w:leftChars="600" w:firstLine="0" w:firstLineChars="0"/>
      <w:jc w:val="left"/>
    </w:pPr>
    <w:rPr>
      <w:rFonts w:asciiTheme="minorHAnsi" w:hAnsiTheme="minorHAnsi" w:eastAsiaTheme="minorEastAsia" w:cstheme="minorBidi"/>
      <w:kern w:val="0"/>
    </w:rPr>
  </w:style>
  <w:style w:type="paragraph" w:styleId="43">
    <w:name w:val="toc 5"/>
    <w:basedOn w:val="1"/>
    <w:next w:val="1"/>
    <w:autoRedefine/>
    <w:qFormat/>
    <w:uiPriority w:val="39"/>
    <w:pPr>
      <w:ind w:left="800" w:leftChars="800"/>
    </w:pPr>
  </w:style>
  <w:style w:type="paragraph" w:styleId="44">
    <w:name w:val="toc 3"/>
    <w:basedOn w:val="1"/>
    <w:next w:val="1"/>
    <w:autoRedefine/>
    <w:qFormat/>
    <w:uiPriority w:val="39"/>
    <w:pPr>
      <w:ind w:left="400" w:leftChars="400"/>
    </w:pPr>
  </w:style>
  <w:style w:type="paragraph" w:styleId="45">
    <w:name w:val="Plain Text"/>
    <w:basedOn w:val="1"/>
    <w:link w:val="271"/>
    <w:autoRedefine/>
    <w:qFormat/>
    <w:uiPriority w:val="0"/>
    <w:rPr>
      <w:rFonts w:ascii="宋体" w:hAnsi="Courier New" w:cstheme="minorBidi"/>
    </w:rPr>
  </w:style>
  <w:style w:type="paragraph" w:styleId="46">
    <w:name w:val="List Bullet 5"/>
    <w:basedOn w:val="1"/>
    <w:autoRedefine/>
    <w:semiHidden/>
    <w:unhideWhenUsed/>
    <w:qFormat/>
    <w:uiPriority w:val="99"/>
    <w:pPr>
      <w:widowControl/>
      <w:numPr>
        <w:ilvl w:val="0"/>
        <w:numId w:val="8"/>
      </w:numPr>
      <w:adjustRightInd/>
      <w:snapToGrid/>
      <w:spacing w:line="240" w:lineRule="auto"/>
      <w:contextualSpacing/>
      <w:jc w:val="left"/>
    </w:pPr>
    <w:rPr>
      <w:rFonts w:asciiTheme="minorHAnsi" w:hAnsiTheme="minorHAnsi" w:eastAsiaTheme="minorEastAsia" w:cstheme="minorBidi"/>
      <w:kern w:val="0"/>
    </w:rPr>
  </w:style>
  <w:style w:type="paragraph" w:styleId="47">
    <w:name w:val="List Number 4"/>
    <w:basedOn w:val="1"/>
    <w:autoRedefine/>
    <w:semiHidden/>
    <w:unhideWhenUsed/>
    <w:qFormat/>
    <w:uiPriority w:val="99"/>
    <w:pPr>
      <w:widowControl/>
      <w:numPr>
        <w:ilvl w:val="0"/>
        <w:numId w:val="9"/>
      </w:numPr>
      <w:adjustRightInd/>
      <w:snapToGrid/>
      <w:spacing w:line="240" w:lineRule="auto"/>
      <w:contextualSpacing/>
      <w:jc w:val="left"/>
    </w:pPr>
    <w:rPr>
      <w:rFonts w:asciiTheme="minorHAnsi" w:hAnsiTheme="minorHAnsi" w:eastAsiaTheme="minorEastAsia" w:cstheme="minorBidi"/>
      <w:kern w:val="0"/>
    </w:rPr>
  </w:style>
  <w:style w:type="paragraph" w:styleId="48">
    <w:name w:val="toc 8"/>
    <w:basedOn w:val="1"/>
    <w:next w:val="1"/>
    <w:autoRedefine/>
    <w:qFormat/>
    <w:uiPriority w:val="39"/>
    <w:pPr>
      <w:ind w:left="1400" w:leftChars="1400"/>
    </w:pPr>
  </w:style>
  <w:style w:type="paragraph" w:styleId="49">
    <w:name w:val="index 3"/>
    <w:basedOn w:val="1"/>
    <w:next w:val="1"/>
    <w:autoRedefine/>
    <w:semiHidden/>
    <w:unhideWhenUsed/>
    <w:qFormat/>
    <w:uiPriority w:val="99"/>
    <w:pPr>
      <w:widowControl/>
      <w:adjustRightInd/>
      <w:snapToGrid/>
      <w:spacing w:line="240" w:lineRule="auto"/>
      <w:ind w:left="400" w:leftChars="400" w:firstLine="0" w:firstLineChars="0"/>
      <w:jc w:val="left"/>
    </w:pPr>
    <w:rPr>
      <w:rFonts w:asciiTheme="minorHAnsi" w:hAnsiTheme="minorHAnsi" w:eastAsiaTheme="minorEastAsia" w:cstheme="minorBidi"/>
      <w:kern w:val="0"/>
    </w:rPr>
  </w:style>
  <w:style w:type="paragraph" w:styleId="50">
    <w:name w:val="Date"/>
    <w:basedOn w:val="1"/>
    <w:next w:val="1"/>
    <w:link w:val="274"/>
    <w:autoRedefine/>
    <w:qFormat/>
    <w:uiPriority w:val="99"/>
    <w:pPr>
      <w:ind w:left="2500" w:leftChars="2500"/>
    </w:pPr>
  </w:style>
  <w:style w:type="paragraph" w:styleId="51">
    <w:name w:val="Body Text Indent 2"/>
    <w:basedOn w:val="1"/>
    <w:link w:val="272"/>
    <w:autoRedefine/>
    <w:qFormat/>
    <w:uiPriority w:val="99"/>
    <w:rPr>
      <w:rFonts w:hint="eastAsia" w:ascii="华文中宋" w:hAnsi="华文中宋" w:eastAsia="华文中宋"/>
    </w:rPr>
  </w:style>
  <w:style w:type="paragraph" w:styleId="52">
    <w:name w:val="endnote text"/>
    <w:basedOn w:val="1"/>
    <w:link w:val="362"/>
    <w:autoRedefine/>
    <w:semiHidden/>
    <w:unhideWhenUsed/>
    <w:qFormat/>
    <w:uiPriority w:val="99"/>
    <w:pPr>
      <w:widowControl/>
      <w:adjustRightInd/>
      <w:spacing w:line="240" w:lineRule="auto"/>
      <w:ind w:firstLine="0" w:firstLineChars="0"/>
      <w:jc w:val="left"/>
    </w:pPr>
    <w:rPr>
      <w:rFonts w:asciiTheme="minorHAnsi" w:hAnsiTheme="minorHAnsi" w:eastAsiaTheme="minorEastAsia" w:cstheme="minorBidi"/>
      <w:kern w:val="0"/>
    </w:rPr>
  </w:style>
  <w:style w:type="paragraph" w:styleId="53">
    <w:name w:val="List Continue 5"/>
    <w:basedOn w:val="1"/>
    <w:autoRedefine/>
    <w:semiHidden/>
    <w:unhideWhenUsed/>
    <w:qFormat/>
    <w:uiPriority w:val="99"/>
    <w:pPr>
      <w:widowControl/>
      <w:adjustRightInd/>
      <w:snapToGrid/>
      <w:spacing w:after="120" w:line="240" w:lineRule="auto"/>
      <w:ind w:left="2100" w:leftChars="1000" w:firstLine="0" w:firstLineChars="0"/>
      <w:contextualSpacing/>
      <w:jc w:val="left"/>
    </w:pPr>
    <w:rPr>
      <w:rFonts w:asciiTheme="minorHAnsi" w:hAnsiTheme="minorHAnsi" w:eastAsiaTheme="minorEastAsia" w:cstheme="minorBidi"/>
      <w:kern w:val="0"/>
    </w:rPr>
  </w:style>
  <w:style w:type="paragraph" w:styleId="54">
    <w:name w:val="Balloon Text"/>
    <w:basedOn w:val="1"/>
    <w:link w:val="252"/>
    <w:autoRedefine/>
    <w:semiHidden/>
    <w:unhideWhenUsed/>
    <w:qFormat/>
    <w:uiPriority w:val="99"/>
    <w:rPr>
      <w:sz w:val="18"/>
      <w:szCs w:val="18"/>
    </w:rPr>
  </w:style>
  <w:style w:type="paragraph" w:styleId="55">
    <w:name w:val="footer"/>
    <w:basedOn w:val="1"/>
    <w:link w:val="276"/>
    <w:autoRedefine/>
    <w:qFormat/>
    <w:uiPriority w:val="99"/>
    <w:pPr>
      <w:tabs>
        <w:tab w:val="center" w:pos="4153"/>
        <w:tab w:val="right" w:pos="8306"/>
      </w:tabs>
      <w:jc w:val="left"/>
    </w:pPr>
    <w:rPr>
      <w:rFonts w:asciiTheme="minorHAnsi" w:hAnsiTheme="minorHAnsi" w:eastAsiaTheme="minorEastAsia" w:cstheme="minorBidi"/>
      <w:sz w:val="18"/>
    </w:rPr>
  </w:style>
  <w:style w:type="paragraph" w:styleId="56">
    <w:name w:val="envelope return"/>
    <w:basedOn w:val="1"/>
    <w:autoRedefine/>
    <w:semiHidden/>
    <w:unhideWhenUsed/>
    <w:qFormat/>
    <w:uiPriority w:val="99"/>
    <w:pPr>
      <w:widowControl/>
      <w:adjustRightInd/>
      <w:spacing w:line="240" w:lineRule="auto"/>
      <w:ind w:firstLine="0" w:firstLineChars="0"/>
      <w:jc w:val="left"/>
    </w:pPr>
    <w:rPr>
      <w:rFonts w:asciiTheme="majorHAnsi" w:hAnsiTheme="majorHAnsi" w:eastAsiaTheme="majorEastAsia" w:cstheme="majorBidi"/>
      <w:kern w:val="0"/>
    </w:rPr>
  </w:style>
  <w:style w:type="paragraph" w:styleId="57">
    <w:name w:val="header"/>
    <w:basedOn w:val="1"/>
    <w:link w:val="277"/>
    <w:autoRedefine/>
    <w:qFormat/>
    <w:uiPriority w:val="0"/>
    <w:pPr>
      <w:pBdr>
        <w:bottom w:val="single" w:color="auto" w:sz="6" w:space="1"/>
      </w:pBdr>
      <w:tabs>
        <w:tab w:val="center" w:pos="4153"/>
        <w:tab w:val="right" w:pos="8306"/>
      </w:tabs>
      <w:jc w:val="center"/>
    </w:pPr>
    <w:rPr>
      <w:sz w:val="18"/>
    </w:rPr>
  </w:style>
  <w:style w:type="paragraph" w:styleId="58">
    <w:name w:val="Signature"/>
    <w:basedOn w:val="1"/>
    <w:link w:val="363"/>
    <w:semiHidden/>
    <w:unhideWhenUsed/>
    <w:qFormat/>
    <w:uiPriority w:val="99"/>
    <w:pPr>
      <w:widowControl/>
      <w:adjustRightInd/>
      <w:snapToGrid/>
      <w:spacing w:line="240" w:lineRule="auto"/>
      <w:ind w:left="100" w:leftChars="2100" w:firstLine="0" w:firstLineChars="0"/>
      <w:jc w:val="left"/>
    </w:pPr>
    <w:rPr>
      <w:rFonts w:asciiTheme="minorHAnsi" w:hAnsiTheme="minorHAnsi" w:eastAsiaTheme="minorEastAsia" w:cstheme="minorBidi"/>
      <w:kern w:val="0"/>
    </w:rPr>
  </w:style>
  <w:style w:type="paragraph" w:styleId="59">
    <w:name w:val="toc 1"/>
    <w:basedOn w:val="1"/>
    <w:next w:val="1"/>
    <w:autoRedefine/>
    <w:qFormat/>
    <w:uiPriority w:val="39"/>
  </w:style>
  <w:style w:type="paragraph" w:styleId="60">
    <w:name w:val="List Continue 4"/>
    <w:basedOn w:val="1"/>
    <w:autoRedefine/>
    <w:semiHidden/>
    <w:unhideWhenUsed/>
    <w:qFormat/>
    <w:uiPriority w:val="99"/>
    <w:pPr>
      <w:widowControl/>
      <w:adjustRightInd/>
      <w:snapToGrid/>
      <w:spacing w:after="120" w:line="240" w:lineRule="auto"/>
      <w:ind w:left="1680" w:leftChars="800" w:firstLine="0" w:firstLineChars="0"/>
      <w:contextualSpacing/>
      <w:jc w:val="left"/>
    </w:pPr>
    <w:rPr>
      <w:rFonts w:asciiTheme="minorHAnsi" w:hAnsiTheme="minorHAnsi" w:eastAsiaTheme="minorEastAsia" w:cstheme="minorBidi"/>
      <w:kern w:val="0"/>
    </w:rPr>
  </w:style>
  <w:style w:type="paragraph" w:styleId="61">
    <w:name w:val="toc 4"/>
    <w:basedOn w:val="1"/>
    <w:next w:val="1"/>
    <w:qFormat/>
    <w:uiPriority w:val="39"/>
    <w:pPr>
      <w:ind w:left="600" w:leftChars="600"/>
    </w:pPr>
  </w:style>
  <w:style w:type="paragraph" w:styleId="62">
    <w:name w:val="index heading"/>
    <w:basedOn w:val="1"/>
    <w:next w:val="63"/>
    <w:autoRedefine/>
    <w:semiHidden/>
    <w:unhideWhenUsed/>
    <w:qFormat/>
    <w:uiPriority w:val="99"/>
    <w:pPr>
      <w:widowControl/>
      <w:adjustRightInd/>
      <w:snapToGrid/>
      <w:spacing w:line="240" w:lineRule="auto"/>
      <w:ind w:firstLine="0" w:firstLineChars="0"/>
      <w:jc w:val="left"/>
    </w:pPr>
    <w:rPr>
      <w:rFonts w:asciiTheme="majorHAnsi" w:hAnsiTheme="majorHAnsi" w:eastAsiaTheme="majorEastAsia" w:cstheme="majorBidi"/>
      <w:b/>
      <w:bCs/>
      <w:kern w:val="0"/>
    </w:rPr>
  </w:style>
  <w:style w:type="paragraph" w:styleId="63">
    <w:name w:val="index 1"/>
    <w:basedOn w:val="1"/>
    <w:next w:val="1"/>
    <w:autoRedefine/>
    <w:semiHidden/>
    <w:unhideWhenUsed/>
    <w:qFormat/>
    <w:uiPriority w:val="99"/>
    <w:pPr>
      <w:widowControl/>
      <w:adjustRightInd/>
      <w:snapToGrid/>
      <w:spacing w:line="240" w:lineRule="auto"/>
      <w:ind w:firstLine="0" w:firstLineChars="0"/>
      <w:jc w:val="left"/>
    </w:pPr>
    <w:rPr>
      <w:rFonts w:asciiTheme="minorHAnsi" w:hAnsiTheme="minorHAnsi" w:eastAsiaTheme="minorEastAsia" w:cstheme="minorBidi"/>
      <w:kern w:val="0"/>
    </w:rPr>
  </w:style>
  <w:style w:type="paragraph" w:styleId="64">
    <w:name w:val="Subtitle"/>
    <w:basedOn w:val="1"/>
    <w:next w:val="1"/>
    <w:link w:val="309"/>
    <w:autoRedefine/>
    <w:qFormat/>
    <w:uiPriority w:val="11"/>
    <w:pPr>
      <w:ind w:firstLine="883"/>
      <w:jc w:val="center"/>
      <w:outlineLvl w:val="1"/>
    </w:pPr>
    <w:rPr>
      <w:rFonts w:hAnsi="Cambria"/>
      <w:b/>
      <w:kern w:val="0"/>
      <w:sz w:val="44"/>
    </w:rPr>
  </w:style>
  <w:style w:type="paragraph" w:styleId="65">
    <w:name w:val="List Number 5"/>
    <w:basedOn w:val="1"/>
    <w:autoRedefine/>
    <w:semiHidden/>
    <w:unhideWhenUsed/>
    <w:qFormat/>
    <w:uiPriority w:val="99"/>
    <w:pPr>
      <w:widowControl/>
      <w:numPr>
        <w:ilvl w:val="0"/>
        <w:numId w:val="10"/>
      </w:numPr>
      <w:adjustRightInd/>
      <w:snapToGrid/>
      <w:spacing w:line="240" w:lineRule="auto"/>
      <w:contextualSpacing/>
      <w:jc w:val="left"/>
    </w:pPr>
    <w:rPr>
      <w:rFonts w:asciiTheme="minorHAnsi" w:hAnsiTheme="minorHAnsi" w:eastAsiaTheme="minorEastAsia" w:cstheme="minorBidi"/>
      <w:kern w:val="0"/>
    </w:rPr>
  </w:style>
  <w:style w:type="paragraph" w:styleId="66">
    <w:name w:val="List"/>
    <w:basedOn w:val="1"/>
    <w:autoRedefine/>
    <w:semiHidden/>
    <w:unhideWhenUsed/>
    <w:qFormat/>
    <w:uiPriority w:val="99"/>
    <w:pPr>
      <w:widowControl/>
      <w:adjustRightInd/>
      <w:snapToGrid/>
      <w:spacing w:line="240" w:lineRule="auto"/>
      <w:ind w:left="200" w:hanging="200" w:hangingChars="200"/>
      <w:contextualSpacing/>
      <w:jc w:val="left"/>
    </w:pPr>
    <w:rPr>
      <w:rFonts w:asciiTheme="minorHAnsi" w:hAnsiTheme="minorHAnsi" w:eastAsiaTheme="minorEastAsia" w:cstheme="minorBidi"/>
      <w:kern w:val="0"/>
    </w:rPr>
  </w:style>
  <w:style w:type="paragraph" w:styleId="67">
    <w:name w:val="footnote text"/>
    <w:basedOn w:val="1"/>
    <w:link w:val="364"/>
    <w:autoRedefine/>
    <w:semiHidden/>
    <w:unhideWhenUsed/>
    <w:qFormat/>
    <w:uiPriority w:val="99"/>
    <w:pPr>
      <w:widowControl/>
      <w:adjustRightInd/>
      <w:spacing w:line="240" w:lineRule="auto"/>
      <w:ind w:firstLine="0" w:firstLineChars="0"/>
      <w:jc w:val="left"/>
    </w:pPr>
    <w:rPr>
      <w:rFonts w:asciiTheme="minorHAnsi" w:hAnsiTheme="minorHAnsi" w:eastAsiaTheme="minorEastAsia" w:cstheme="minorBidi"/>
      <w:kern w:val="0"/>
      <w:sz w:val="18"/>
      <w:szCs w:val="18"/>
    </w:rPr>
  </w:style>
  <w:style w:type="paragraph" w:styleId="68">
    <w:name w:val="toc 6"/>
    <w:basedOn w:val="1"/>
    <w:next w:val="1"/>
    <w:autoRedefine/>
    <w:qFormat/>
    <w:uiPriority w:val="39"/>
    <w:pPr>
      <w:ind w:left="1000" w:leftChars="1000"/>
    </w:pPr>
  </w:style>
  <w:style w:type="paragraph" w:styleId="69">
    <w:name w:val="List 5"/>
    <w:basedOn w:val="1"/>
    <w:autoRedefine/>
    <w:semiHidden/>
    <w:unhideWhenUsed/>
    <w:qFormat/>
    <w:uiPriority w:val="99"/>
    <w:pPr>
      <w:widowControl/>
      <w:adjustRightInd/>
      <w:snapToGrid/>
      <w:spacing w:line="240" w:lineRule="auto"/>
      <w:ind w:left="100" w:leftChars="800" w:hanging="200" w:hangingChars="200"/>
      <w:contextualSpacing/>
      <w:jc w:val="left"/>
    </w:pPr>
    <w:rPr>
      <w:rFonts w:asciiTheme="minorHAnsi" w:hAnsiTheme="minorHAnsi" w:eastAsiaTheme="minorEastAsia" w:cstheme="minorBidi"/>
      <w:kern w:val="0"/>
    </w:rPr>
  </w:style>
  <w:style w:type="paragraph" w:styleId="70">
    <w:name w:val="Body Text Indent 3"/>
    <w:basedOn w:val="1"/>
    <w:link w:val="266"/>
    <w:autoRedefine/>
    <w:qFormat/>
    <w:uiPriority w:val="99"/>
    <w:pPr>
      <w:spacing w:after="120"/>
      <w:ind w:left="420" w:leftChars="200"/>
    </w:pPr>
    <w:rPr>
      <w:sz w:val="16"/>
      <w:szCs w:val="16"/>
    </w:rPr>
  </w:style>
  <w:style w:type="paragraph" w:styleId="71">
    <w:name w:val="index 7"/>
    <w:basedOn w:val="1"/>
    <w:next w:val="1"/>
    <w:autoRedefine/>
    <w:semiHidden/>
    <w:unhideWhenUsed/>
    <w:qFormat/>
    <w:uiPriority w:val="99"/>
    <w:pPr>
      <w:widowControl/>
      <w:adjustRightInd/>
      <w:snapToGrid/>
      <w:spacing w:line="240" w:lineRule="auto"/>
      <w:ind w:left="1200" w:leftChars="1200" w:firstLine="0" w:firstLineChars="0"/>
      <w:jc w:val="left"/>
    </w:pPr>
    <w:rPr>
      <w:rFonts w:asciiTheme="minorHAnsi" w:hAnsiTheme="minorHAnsi" w:eastAsiaTheme="minorEastAsia" w:cstheme="minorBidi"/>
      <w:kern w:val="0"/>
    </w:rPr>
  </w:style>
  <w:style w:type="paragraph" w:styleId="72">
    <w:name w:val="index 9"/>
    <w:basedOn w:val="1"/>
    <w:next w:val="1"/>
    <w:autoRedefine/>
    <w:semiHidden/>
    <w:unhideWhenUsed/>
    <w:qFormat/>
    <w:uiPriority w:val="99"/>
    <w:pPr>
      <w:widowControl/>
      <w:adjustRightInd/>
      <w:snapToGrid/>
      <w:spacing w:line="240" w:lineRule="auto"/>
      <w:ind w:left="1600" w:leftChars="1600" w:firstLine="0" w:firstLineChars="0"/>
      <w:jc w:val="left"/>
    </w:pPr>
    <w:rPr>
      <w:rFonts w:asciiTheme="minorHAnsi" w:hAnsiTheme="minorHAnsi" w:eastAsiaTheme="minorEastAsia" w:cstheme="minorBidi"/>
      <w:kern w:val="0"/>
    </w:rPr>
  </w:style>
  <w:style w:type="paragraph" w:styleId="73">
    <w:name w:val="table of figures"/>
    <w:basedOn w:val="1"/>
    <w:next w:val="1"/>
    <w:autoRedefine/>
    <w:semiHidden/>
    <w:qFormat/>
    <w:uiPriority w:val="99"/>
    <w:pPr>
      <w:ind w:left="420" w:hanging="420"/>
      <w:jc w:val="left"/>
    </w:pPr>
    <w:rPr>
      <w:smallCaps/>
    </w:rPr>
  </w:style>
  <w:style w:type="paragraph" w:styleId="74">
    <w:name w:val="toc 2"/>
    <w:basedOn w:val="1"/>
    <w:next w:val="1"/>
    <w:autoRedefine/>
    <w:qFormat/>
    <w:uiPriority w:val="39"/>
    <w:pPr>
      <w:ind w:left="200" w:leftChars="200"/>
    </w:pPr>
  </w:style>
  <w:style w:type="paragraph" w:styleId="75">
    <w:name w:val="toc 9"/>
    <w:basedOn w:val="1"/>
    <w:next w:val="1"/>
    <w:autoRedefine/>
    <w:qFormat/>
    <w:uiPriority w:val="39"/>
    <w:pPr>
      <w:ind w:left="1600" w:leftChars="1600"/>
    </w:pPr>
  </w:style>
  <w:style w:type="paragraph" w:styleId="76">
    <w:name w:val="Body Text 2"/>
    <w:basedOn w:val="1"/>
    <w:link w:val="273"/>
    <w:autoRedefine/>
    <w:qFormat/>
    <w:uiPriority w:val="99"/>
    <w:pPr>
      <w:tabs>
        <w:tab w:val="left" w:pos="7125"/>
      </w:tabs>
    </w:pPr>
    <w:rPr>
      <w:rFonts w:ascii="宋体" w:hAnsi="宋体" w:eastAsiaTheme="minorEastAsia" w:cstheme="minorBidi"/>
      <w:color w:val="000000"/>
      <w:sz w:val="30"/>
      <w:u w:color="FFFFFF"/>
    </w:rPr>
  </w:style>
  <w:style w:type="paragraph" w:styleId="77">
    <w:name w:val="List 4"/>
    <w:basedOn w:val="1"/>
    <w:autoRedefine/>
    <w:semiHidden/>
    <w:unhideWhenUsed/>
    <w:qFormat/>
    <w:uiPriority w:val="99"/>
    <w:pPr>
      <w:widowControl/>
      <w:adjustRightInd/>
      <w:snapToGrid/>
      <w:spacing w:line="240" w:lineRule="auto"/>
      <w:ind w:left="100" w:leftChars="600" w:hanging="200" w:hangingChars="200"/>
      <w:contextualSpacing/>
      <w:jc w:val="left"/>
    </w:pPr>
    <w:rPr>
      <w:rFonts w:asciiTheme="minorHAnsi" w:hAnsiTheme="minorHAnsi" w:eastAsiaTheme="minorEastAsia" w:cstheme="minorBidi"/>
      <w:kern w:val="0"/>
    </w:rPr>
  </w:style>
  <w:style w:type="paragraph" w:styleId="78">
    <w:name w:val="List Continue 2"/>
    <w:basedOn w:val="1"/>
    <w:autoRedefine/>
    <w:semiHidden/>
    <w:unhideWhenUsed/>
    <w:qFormat/>
    <w:uiPriority w:val="99"/>
    <w:pPr>
      <w:widowControl/>
      <w:adjustRightInd/>
      <w:snapToGrid/>
      <w:spacing w:after="120" w:line="240" w:lineRule="auto"/>
      <w:ind w:left="840" w:leftChars="400" w:firstLine="0" w:firstLineChars="0"/>
      <w:contextualSpacing/>
      <w:jc w:val="left"/>
    </w:pPr>
    <w:rPr>
      <w:rFonts w:asciiTheme="minorHAnsi" w:hAnsiTheme="minorHAnsi" w:eastAsiaTheme="minorEastAsia" w:cstheme="minorBidi"/>
      <w:kern w:val="0"/>
    </w:rPr>
  </w:style>
  <w:style w:type="paragraph" w:styleId="79">
    <w:name w:val="Message Header"/>
    <w:basedOn w:val="1"/>
    <w:link w:val="365"/>
    <w:autoRedefine/>
    <w:semiHidden/>
    <w:unhideWhenUsed/>
    <w:qFormat/>
    <w:uiPriority w:val="99"/>
    <w:pPr>
      <w:widowControl/>
      <w:pBdr>
        <w:top w:val="single" w:color="auto" w:sz="6" w:space="1"/>
        <w:left w:val="single" w:color="auto" w:sz="6" w:space="1"/>
        <w:bottom w:val="single" w:color="auto" w:sz="6" w:space="1"/>
        <w:right w:val="single" w:color="auto" w:sz="6" w:space="1"/>
      </w:pBdr>
      <w:shd w:val="pct20" w:color="auto" w:fill="auto"/>
      <w:adjustRightInd/>
      <w:snapToGrid/>
      <w:spacing w:line="240" w:lineRule="auto"/>
      <w:ind w:left="1080" w:leftChars="500" w:hanging="1080" w:hangingChars="500"/>
      <w:jc w:val="left"/>
    </w:pPr>
    <w:rPr>
      <w:rFonts w:asciiTheme="majorHAnsi" w:hAnsiTheme="majorHAnsi" w:eastAsiaTheme="majorEastAsia" w:cstheme="majorBidi"/>
      <w:kern w:val="0"/>
    </w:rPr>
  </w:style>
  <w:style w:type="paragraph" w:styleId="80">
    <w:name w:val="HTML Preformatted"/>
    <w:basedOn w:val="1"/>
    <w:link w:val="366"/>
    <w:autoRedefine/>
    <w:semiHidden/>
    <w:unhideWhenUsed/>
    <w:qFormat/>
    <w:uiPriority w:val="99"/>
    <w:pPr>
      <w:widowControl/>
      <w:adjustRightInd/>
      <w:snapToGrid/>
      <w:spacing w:line="240" w:lineRule="auto"/>
      <w:ind w:firstLine="0" w:firstLineChars="0"/>
      <w:jc w:val="left"/>
    </w:pPr>
    <w:rPr>
      <w:rFonts w:ascii="Courier New" w:hAnsi="Courier New" w:cs="Courier New" w:eastAsiaTheme="minorEastAsia"/>
      <w:kern w:val="0"/>
      <w:sz w:val="20"/>
      <w:szCs w:val="20"/>
    </w:rPr>
  </w:style>
  <w:style w:type="paragraph" w:styleId="81">
    <w:name w:val="Normal (Web)"/>
    <w:basedOn w:val="1"/>
    <w:autoRedefine/>
    <w:unhideWhenUsed/>
    <w:qFormat/>
    <w:uiPriority w:val="99"/>
    <w:pPr>
      <w:widowControl/>
      <w:spacing w:before="100" w:beforeAutospacing="1" w:after="100" w:afterAutospacing="1"/>
      <w:jc w:val="left"/>
    </w:pPr>
    <w:rPr>
      <w:rFonts w:ascii="宋体" w:hAnsi="宋体" w:cs="宋体"/>
      <w:kern w:val="0"/>
    </w:rPr>
  </w:style>
  <w:style w:type="paragraph" w:styleId="82">
    <w:name w:val="List Continue 3"/>
    <w:basedOn w:val="1"/>
    <w:autoRedefine/>
    <w:semiHidden/>
    <w:unhideWhenUsed/>
    <w:qFormat/>
    <w:uiPriority w:val="99"/>
    <w:pPr>
      <w:widowControl/>
      <w:adjustRightInd/>
      <w:snapToGrid/>
      <w:spacing w:after="120" w:line="240" w:lineRule="auto"/>
      <w:ind w:left="1260" w:leftChars="600" w:firstLine="0" w:firstLineChars="0"/>
      <w:contextualSpacing/>
      <w:jc w:val="left"/>
    </w:pPr>
    <w:rPr>
      <w:rFonts w:asciiTheme="minorHAnsi" w:hAnsiTheme="minorHAnsi" w:eastAsiaTheme="minorEastAsia" w:cstheme="minorBidi"/>
      <w:kern w:val="0"/>
    </w:rPr>
  </w:style>
  <w:style w:type="paragraph" w:styleId="83">
    <w:name w:val="index 2"/>
    <w:basedOn w:val="1"/>
    <w:next w:val="1"/>
    <w:autoRedefine/>
    <w:semiHidden/>
    <w:unhideWhenUsed/>
    <w:qFormat/>
    <w:uiPriority w:val="99"/>
    <w:pPr>
      <w:widowControl/>
      <w:adjustRightInd/>
      <w:snapToGrid/>
      <w:spacing w:line="240" w:lineRule="auto"/>
      <w:ind w:left="200" w:leftChars="200" w:firstLine="0" w:firstLineChars="0"/>
      <w:jc w:val="left"/>
    </w:pPr>
    <w:rPr>
      <w:rFonts w:asciiTheme="minorHAnsi" w:hAnsiTheme="minorHAnsi" w:eastAsiaTheme="minorEastAsia" w:cstheme="minorBidi"/>
      <w:kern w:val="0"/>
    </w:rPr>
  </w:style>
  <w:style w:type="paragraph" w:styleId="84">
    <w:name w:val="Title"/>
    <w:basedOn w:val="1"/>
    <w:next w:val="1"/>
    <w:link w:val="263"/>
    <w:autoRedefine/>
    <w:qFormat/>
    <w:uiPriority w:val="10"/>
    <w:pPr>
      <w:jc w:val="center"/>
      <w:outlineLvl w:val="0"/>
    </w:pPr>
    <w:rPr>
      <w:rFonts w:hAnsi="宋体"/>
      <w:b/>
      <w:spacing w:val="5"/>
      <w:kern w:val="28"/>
      <w:sz w:val="44"/>
      <w:szCs w:val="52"/>
    </w:rPr>
  </w:style>
  <w:style w:type="paragraph" w:styleId="85">
    <w:name w:val="annotation subject"/>
    <w:basedOn w:val="29"/>
    <w:next w:val="29"/>
    <w:link w:val="367"/>
    <w:autoRedefine/>
    <w:semiHidden/>
    <w:unhideWhenUsed/>
    <w:qFormat/>
    <w:uiPriority w:val="99"/>
    <w:rPr>
      <w:b/>
      <w:bCs/>
    </w:rPr>
  </w:style>
  <w:style w:type="paragraph" w:styleId="86">
    <w:name w:val="Body Text First Indent"/>
    <w:basedOn w:val="22"/>
    <w:link w:val="265"/>
    <w:qFormat/>
    <w:uiPriority w:val="99"/>
    <w:pPr>
      <w:spacing w:after="120"/>
      <w:ind w:firstLine="420" w:firstLineChars="100"/>
    </w:pPr>
    <w:rPr>
      <w:sz w:val="21"/>
    </w:rPr>
  </w:style>
  <w:style w:type="paragraph" w:styleId="87">
    <w:name w:val="Body Text First Indent 2"/>
    <w:basedOn w:val="35"/>
    <w:link w:val="368"/>
    <w:autoRedefine/>
    <w:semiHidden/>
    <w:unhideWhenUsed/>
    <w:qFormat/>
    <w:uiPriority w:val="99"/>
    <w:pPr>
      <w:widowControl/>
      <w:adjustRightInd/>
      <w:snapToGrid/>
      <w:spacing w:after="120" w:line="240" w:lineRule="auto"/>
      <w:ind w:left="420" w:leftChars="200" w:firstLine="420"/>
      <w:jc w:val="left"/>
    </w:pPr>
    <w:rPr>
      <w:rFonts w:asciiTheme="minorHAnsi" w:hAnsiTheme="minorHAnsi" w:eastAsiaTheme="minorEastAsia" w:cstheme="minorBidi"/>
      <w:kern w:val="0"/>
    </w:rPr>
  </w:style>
  <w:style w:type="table" w:styleId="89">
    <w:name w:val="Table Grid"/>
    <w:basedOn w:val="88"/>
    <w:autoRedefine/>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90">
    <w:name w:val="Table Theme"/>
    <w:basedOn w:val="88"/>
    <w:autoRedefine/>
    <w:semiHidden/>
    <w:unhideWhenUsed/>
    <w:qFormat/>
    <w:uiPriority w:val="99"/>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91">
    <w:name w:val="Table Colorful 1"/>
    <w:basedOn w:val="88"/>
    <w:autoRedefine/>
    <w:semiHidden/>
    <w:unhideWhenUsed/>
    <w:qFormat/>
    <w:uiPriority w:val="99"/>
    <w:pPr>
      <w:widowControl w:val="0"/>
      <w:jc w:val="both"/>
    </w:pPr>
    <w:rPr>
      <w:rFonts w:ascii="Times New Roman" w:hAnsi="Times New Roman"/>
      <w:color w:val="FFFFFF"/>
    </w:rPr>
    <w:tblPr>
      <w:tblBorders>
        <w:top w:val="single" w:color="008080" w:sz="12" w:space="0"/>
        <w:left w:val="single" w:color="008080" w:sz="12" w:space="0"/>
        <w:bottom w:val="single" w:color="008080" w:sz="12" w:space="0"/>
        <w:right w:val="single" w:color="008080" w:sz="12" w:space="0"/>
        <w:insideH w:val="single" w:color="00FFFF" w:sz="6" w:space="0"/>
      </w:tblBorders>
      <w:tblCellMar>
        <w:top w:w="0" w:type="dxa"/>
        <w:left w:w="108" w:type="dxa"/>
        <w:bottom w:w="0" w:type="dxa"/>
        <w:right w:w="108" w:type="dxa"/>
      </w:tblCellMar>
    </w:tblPr>
    <w:tcPr>
      <w:shd w:val="solid" w:color="008080" w:fill="FFFFFF"/>
    </w:tcPr>
    <w:tblStylePr w:type="firstRow">
      <w:rPr>
        <w:b/>
        <w:bCs/>
        <w:i/>
        <w:iCs/>
      </w:rPr>
      <w:tblPr/>
      <w:tcPr>
        <w:tcBorders>
          <w:tl2br w:val="nil"/>
          <w:tr2bl w:val="nil"/>
        </w:tcBorders>
        <w:shd w:val="solid" w:color="000000" w:fill="FFFFFF"/>
      </w:tcPr>
    </w:tblStylePr>
    <w:tblStylePr w:type="firstCol">
      <w:rPr>
        <w:b/>
        <w:bCs/>
        <w:i/>
        <w:iCs/>
      </w:rPr>
      <w:tblPr/>
      <w:tcPr>
        <w:tcBorders>
          <w:tl2br w:val="nil"/>
          <w:tr2bl w:val="nil"/>
        </w:tcBorders>
        <w:shd w:val="solid" w:color="000080" w:fill="FFFFFF"/>
      </w:tcPr>
    </w:tblStylePr>
    <w:tblStylePr w:type="nwCell">
      <w:tblPr/>
      <w:tcPr>
        <w:tcBorders>
          <w:tl2br w:val="nil"/>
          <w:tr2bl w:val="nil"/>
        </w:tcBorders>
        <w:shd w:val="solid" w:color="000000" w:fill="FFFFFF"/>
      </w:tcPr>
    </w:tblStylePr>
    <w:tblStylePr w:type="swCell">
      <w:rPr>
        <w:b/>
        <w:bCs/>
        <w:i w:val="0"/>
        <w:iCs w:val="0"/>
      </w:rPr>
      <w:tblPr/>
      <w:tcPr>
        <w:tcBorders>
          <w:tl2br w:val="nil"/>
          <w:tr2bl w:val="nil"/>
        </w:tcBorders>
      </w:tcPr>
    </w:tblStylePr>
  </w:style>
  <w:style w:type="table" w:styleId="92">
    <w:name w:val="Table Colorful 2"/>
    <w:basedOn w:val="88"/>
    <w:semiHidden/>
    <w:unhideWhenUsed/>
    <w:qFormat/>
    <w:uiPriority w:val="99"/>
    <w:pPr>
      <w:widowControl w:val="0"/>
      <w:jc w:val="both"/>
    </w:pPr>
    <w:rPr>
      <w:rFonts w:ascii="Times New Roman" w:hAnsi="Times New Roman"/>
    </w:rPr>
    <w:tblPr>
      <w:tblBorders>
        <w:bottom w:val="single" w:color="000000" w:sz="12" w:space="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color="000000" w:sz="12" w:space="0"/>
          <w:tl2br w:val="nil"/>
          <w:tr2bl w:val="nil"/>
        </w:tcBorders>
        <w:shd w:val="solid" w:color="800000" w:fill="FFFFFF"/>
      </w:tcPr>
    </w:tblStylePr>
    <w:tblStylePr w:type="firstCol">
      <w:rPr>
        <w:b/>
        <w:bCs/>
        <w:i/>
        <w:iCs/>
      </w:rPr>
      <w:tblPr/>
      <w:tcPr>
        <w:tcBorders>
          <w:tl2br w:val="nil"/>
          <w:tr2bl w:val="nil"/>
        </w:tcBorders>
      </w:tcPr>
    </w:tblStylePr>
    <w:tblStylePr w:type="lastCol">
      <w:tblPr/>
      <w:tcPr>
        <w:tcBorders>
          <w:tl2br w:val="nil"/>
          <w:tr2bl w:val="nil"/>
        </w:tcBorders>
        <w:shd w:val="solid" w:color="C0C0C0" w:fill="FFFFFF"/>
      </w:tcPr>
    </w:tblStylePr>
    <w:tblStylePr w:type="swCell">
      <w:rPr>
        <w:b/>
        <w:bCs/>
        <w:i w:val="0"/>
        <w:iCs w:val="0"/>
      </w:rPr>
      <w:tblPr/>
      <w:tcPr>
        <w:tcBorders>
          <w:tl2br w:val="nil"/>
          <w:tr2bl w:val="nil"/>
        </w:tcBorders>
      </w:tcPr>
    </w:tblStylePr>
  </w:style>
  <w:style w:type="table" w:styleId="93">
    <w:name w:val="Table Colorful 3"/>
    <w:basedOn w:val="88"/>
    <w:semiHidden/>
    <w:unhideWhenUsed/>
    <w:qFormat/>
    <w:uiPriority w:val="99"/>
    <w:pPr>
      <w:widowControl w:val="0"/>
      <w:jc w:val="both"/>
    </w:pPr>
    <w:rPr>
      <w:rFonts w:ascii="Times New Roman" w:hAnsi="Times New Roman"/>
    </w:rPr>
    <w:tblPr>
      <w:tblBorders>
        <w:top w:val="single" w:color="000000" w:sz="18" w:space="0"/>
        <w:left w:val="single" w:color="000000" w:sz="18" w:space="0"/>
        <w:bottom w:val="single" w:color="000000" w:sz="18" w:space="0"/>
        <w:right w:val="single" w:color="000000" w:sz="18" w:space="0"/>
        <w:insideH w:val="single" w:color="C0C0C0" w:sz="6" w:space="0"/>
      </w:tblBorders>
      <w:tblCellMar>
        <w:top w:w="0" w:type="dxa"/>
        <w:left w:w="108" w:type="dxa"/>
        <w:bottom w:w="0" w:type="dxa"/>
        <w:right w:w="108" w:type="dxa"/>
      </w:tblCellMar>
    </w:tblPr>
    <w:tcPr>
      <w:shd w:val="pct25" w:color="008080" w:fill="FFFFFF"/>
    </w:tcPr>
    <w:tblStylePr w:type="firstRow">
      <w:tblPr/>
      <w:tcPr>
        <w:tcBorders>
          <w:bottom w:val="single" w:color="000000" w:sz="6" w:space="0"/>
          <w:tl2br w:val="nil"/>
          <w:tr2bl w:val="nil"/>
        </w:tcBorders>
        <w:shd w:val="solid" w:color="008080" w:fill="FFFFFF"/>
      </w:tcPr>
    </w:tblStylePr>
    <w:tblStylePr w:type="firstCol">
      <w:tblPr/>
      <w:tcPr>
        <w:tcBorders>
          <w:left w:val="single" w:color="000000" w:sz="36" w:space="0"/>
          <w:right w:val="single" w:color="000000" w:sz="6" w:space="0"/>
          <w:tl2br w:val="nil"/>
          <w:tr2bl w:val="nil"/>
        </w:tcBorders>
        <w:shd w:val="solid" w:color="008080" w:fill="FFFFFF"/>
      </w:tcPr>
    </w:tblStylePr>
    <w:tblStylePr w:type="nwCell">
      <w:rPr>
        <w:b/>
        <w:bCs/>
        <w:color w:val="FFFFFF"/>
      </w:rPr>
      <w:tblPr/>
      <w:tcPr>
        <w:tcBorders>
          <w:tl2br w:val="nil"/>
          <w:tr2bl w:val="nil"/>
        </w:tcBorders>
        <w:shd w:val="solid" w:color="000000" w:fill="FFFFFF"/>
      </w:tcPr>
    </w:tblStylePr>
  </w:style>
  <w:style w:type="table" w:styleId="94">
    <w:name w:val="Table Elegant"/>
    <w:basedOn w:val="88"/>
    <w:autoRedefine/>
    <w:qFormat/>
    <w:uiPriority w:val="99"/>
    <w:pPr>
      <w:widowControl w:val="0"/>
      <w:jc w:val="both"/>
    </w:p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95">
    <w:name w:val="Table Classic 1"/>
    <w:basedOn w:val="88"/>
    <w:semiHidden/>
    <w:unhideWhenUsed/>
    <w:qFormat/>
    <w:uiPriority w:val="99"/>
    <w:pPr>
      <w:widowControl w:val="0"/>
      <w:jc w:val="both"/>
    </w:pPr>
    <w:rPr>
      <w:rFonts w:ascii="Times New Roman" w:hAnsi="Times New Roman"/>
    </w:rPr>
    <w:tblPr>
      <w:tblBorders>
        <w:top w:val="single" w:color="000000" w:sz="12" w:space="0"/>
        <w:bottom w:val="single" w:color="000000" w:sz="12" w:space="0"/>
      </w:tblBorders>
      <w:tblCellMar>
        <w:top w:w="0" w:type="dxa"/>
        <w:left w:w="108" w:type="dxa"/>
        <w:bottom w:w="0" w:type="dxa"/>
        <w:right w:w="108" w:type="dxa"/>
      </w:tblCellMar>
    </w:tblPr>
    <w:tcPr>
      <w:shd w:val="clear" w:color="auto" w:fill="auto"/>
    </w:tcPr>
    <w:tblStylePr w:type="firstRow">
      <w:rPr>
        <w:i/>
        <w:iCs/>
      </w:rPr>
      <w:tblPr/>
      <w:tcPr>
        <w:tcBorders>
          <w:bottom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tblPr/>
      <w:tcPr>
        <w:tcBorders>
          <w:right w:val="single" w:color="000000" w:sz="6" w:space="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96">
    <w:name w:val="Table Classic 2"/>
    <w:basedOn w:val="88"/>
    <w:semiHidden/>
    <w:unhideWhenUsed/>
    <w:qFormat/>
    <w:uiPriority w:val="99"/>
    <w:pPr>
      <w:widowControl w:val="0"/>
      <w:jc w:val="both"/>
    </w:pPr>
    <w:rPr>
      <w:rFonts w:ascii="Times New Roman" w:hAnsi="Times New Roman"/>
    </w:rPr>
    <w:tblPr>
      <w:tblBorders>
        <w:top w:val="single" w:color="000000" w:sz="12" w:space="0"/>
        <w:bottom w:val="single" w:color="000000" w:sz="12" w:space="0"/>
      </w:tblBorders>
      <w:tblCellMar>
        <w:top w:w="0" w:type="dxa"/>
        <w:left w:w="108" w:type="dxa"/>
        <w:bottom w:w="0" w:type="dxa"/>
        <w:right w:w="108" w:type="dxa"/>
      </w:tblCellMar>
    </w:tblPr>
    <w:tcPr>
      <w:shd w:val="clear" w:color="auto" w:fill="auto"/>
    </w:tcPr>
    <w:tblStylePr w:type="firstRow">
      <w:rPr>
        <w:color w:val="FFFFFF"/>
      </w:rPr>
      <w:tblPr/>
      <w:tcPr>
        <w:tcBorders>
          <w:bottom w:val="single" w:color="000000" w:sz="6" w:space="0"/>
          <w:tl2br w:val="nil"/>
          <w:tr2bl w:val="nil"/>
        </w:tcBorders>
        <w:shd w:val="solid" w:color="800080" w:fill="FFFFFF"/>
      </w:tcPr>
    </w:tblStylePr>
    <w:tblStylePr w:type="lastRow">
      <w:tblPr/>
      <w:tcPr>
        <w:tcBorders>
          <w:top w:val="single" w:color="000000" w:sz="6" w:space="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97">
    <w:name w:val="Table Classic 3"/>
    <w:basedOn w:val="88"/>
    <w:autoRedefine/>
    <w:semiHidden/>
    <w:unhideWhenUsed/>
    <w:qFormat/>
    <w:uiPriority w:val="99"/>
    <w:pPr>
      <w:widowControl w:val="0"/>
      <w:jc w:val="both"/>
    </w:pPr>
    <w:rPr>
      <w:rFonts w:ascii="Times New Roman" w:hAnsi="Times New Roman"/>
      <w:color w:val="000080"/>
    </w:rPr>
    <w:tblPr>
      <w:tblBorders>
        <w:top w:val="single" w:color="000000" w:sz="12" w:space="0"/>
        <w:left w:val="single" w:color="000000" w:sz="12" w:space="0"/>
        <w:bottom w:val="single" w:color="000000" w:sz="12" w:space="0"/>
        <w:right w:val="single" w:color="000000" w:sz="12" w:space="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color="000000" w:sz="6" w:space="0"/>
          <w:tl2br w:val="nil"/>
          <w:tr2bl w:val="nil"/>
        </w:tcBorders>
        <w:shd w:val="solid" w:color="000080" w:fill="FFFFFF"/>
      </w:tcPr>
    </w:tblStylePr>
    <w:tblStylePr w:type="lastRow">
      <w:rPr>
        <w:color w:val="000080"/>
      </w:rPr>
      <w:tblPr/>
      <w:tcPr>
        <w:tcBorders>
          <w:top w:val="single" w:color="000000" w:sz="12" w:space="0"/>
          <w:tl2br w:val="nil"/>
          <w:tr2bl w:val="nil"/>
        </w:tcBorders>
        <w:shd w:val="solid" w:color="FFFFFF" w:fill="FFFFFF"/>
      </w:tcPr>
    </w:tblStylePr>
    <w:tblStylePr w:type="firstCol">
      <w:rPr>
        <w:b/>
        <w:bCs/>
        <w:color w:val="000000"/>
      </w:rPr>
      <w:tblPr/>
      <w:tcPr>
        <w:tcBorders>
          <w:tl2br w:val="nil"/>
          <w:tr2bl w:val="nil"/>
        </w:tcBorders>
      </w:tcPr>
    </w:tblStylePr>
  </w:style>
  <w:style w:type="table" w:styleId="98">
    <w:name w:val="Table Classic 4"/>
    <w:basedOn w:val="88"/>
    <w:semiHidden/>
    <w:unhideWhenUsed/>
    <w:qFormat/>
    <w:uiPriority w:val="99"/>
    <w:pPr>
      <w:widowControl w:val="0"/>
      <w:jc w:val="both"/>
    </w:pPr>
    <w:rPr>
      <w:rFonts w:ascii="Times New Roman" w:hAnsi="Times New Roman"/>
    </w:rPr>
    <w:tblPr>
      <w:tblBorders>
        <w:top w:val="single" w:color="000000" w:sz="12" w:space="0"/>
        <w:left w:val="single" w:color="000000" w:sz="6" w:space="0"/>
        <w:bottom w:val="single" w:color="000000" w:sz="12" w:space="0"/>
        <w:right w:val="single" w:color="000000" w:sz="6" w:space="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color="000000" w:sz="6" w:space="0"/>
          <w:tl2br w:val="nil"/>
          <w:tr2bl w:val="nil"/>
        </w:tcBorders>
        <w:shd w:val="pct50" w:color="000080" w:fill="FFFFFF"/>
      </w:tcPr>
    </w:tblStylePr>
    <w:tblStylePr w:type="lastRow">
      <w:rPr>
        <w:color w:val="000080"/>
      </w:rPr>
      <w:tblPr/>
      <w:tcPr>
        <w:tcBorders>
          <w:bottom w:val="single" w:color="000000" w:sz="6" w:space="0"/>
          <w:tl2br w:val="nil"/>
          <w:tr2bl w:val="nil"/>
        </w:tcBorders>
        <w:shd w:val="pct50" w:color="000000" w:fill="FFFFFF"/>
      </w:tcPr>
    </w:tblStylePr>
    <w:tblStylePr w:type="firstCol">
      <w:rPr>
        <w:b/>
        <w:bCs/>
      </w:rPr>
      <w:tblPr/>
      <w:tcPr>
        <w:tcBorders>
          <w:tl2br w:val="nil"/>
          <w:tr2bl w:val="nil"/>
        </w:tcBorders>
      </w:tcPr>
    </w:tblStylePr>
    <w:tblStylePr w:type="nwCell">
      <w:rPr>
        <w:b/>
        <w:bCs/>
      </w:rPr>
      <w:tblPr/>
      <w:tcPr>
        <w:tcBorders>
          <w:tl2br w:val="nil"/>
          <w:tr2bl w:val="nil"/>
        </w:tcBorders>
      </w:tcPr>
    </w:tblStylePr>
    <w:tblStylePr w:type="swCell">
      <w:rPr>
        <w:color w:val="000080"/>
      </w:rPr>
      <w:tblPr/>
      <w:tcPr>
        <w:tcBorders>
          <w:tl2br w:val="nil"/>
          <w:tr2bl w:val="nil"/>
        </w:tcBorders>
      </w:tcPr>
    </w:tblStylePr>
  </w:style>
  <w:style w:type="table" w:styleId="99">
    <w:name w:val="Table Simple 1"/>
    <w:basedOn w:val="88"/>
    <w:semiHidden/>
    <w:unhideWhenUsed/>
    <w:qFormat/>
    <w:uiPriority w:val="99"/>
    <w:pPr>
      <w:widowControl w:val="0"/>
      <w:jc w:val="both"/>
    </w:pPr>
    <w:rPr>
      <w:rFonts w:ascii="Times New Roman" w:hAnsi="Times New Roman"/>
    </w:rPr>
    <w:tblPr>
      <w:tblBorders>
        <w:top w:val="single" w:color="008000" w:sz="12" w:space="0"/>
        <w:bottom w:val="single" w:color="008000" w:sz="12" w:space="0"/>
      </w:tblBorders>
      <w:tblCellMar>
        <w:top w:w="0" w:type="dxa"/>
        <w:left w:w="108" w:type="dxa"/>
        <w:bottom w:w="0" w:type="dxa"/>
        <w:right w:w="108" w:type="dxa"/>
      </w:tblCellMar>
    </w:tblPr>
    <w:tcPr>
      <w:shd w:val="clear" w:color="auto" w:fill="auto"/>
    </w:tcPr>
    <w:tblStylePr w:type="firstRow">
      <w:tblPr/>
      <w:tcPr>
        <w:tcBorders>
          <w:bottom w:val="single" w:color="008000" w:sz="6" w:space="0"/>
          <w:tl2br w:val="nil"/>
          <w:tr2bl w:val="nil"/>
        </w:tcBorders>
      </w:tcPr>
    </w:tblStylePr>
    <w:tblStylePr w:type="lastRow">
      <w:tblPr/>
      <w:tcPr>
        <w:tcBorders>
          <w:top w:val="single" w:color="008000" w:sz="6" w:space="0"/>
          <w:tl2br w:val="nil"/>
          <w:tr2bl w:val="nil"/>
        </w:tcBorders>
      </w:tcPr>
    </w:tblStylePr>
  </w:style>
  <w:style w:type="table" w:styleId="100">
    <w:name w:val="Table Simple 2"/>
    <w:basedOn w:val="88"/>
    <w:autoRedefine/>
    <w:semiHidden/>
    <w:unhideWhenUsed/>
    <w:qFormat/>
    <w:uiPriority w:val="99"/>
    <w:pPr>
      <w:widowControl w:val="0"/>
      <w:jc w:val="both"/>
    </w:pPr>
    <w:rPr>
      <w:rFonts w:ascii="Times New Roman" w:hAnsi="Times New Roman"/>
    </w:rPr>
    <w:tblPr>
      <w:tblCellMar>
        <w:top w:w="0" w:type="dxa"/>
        <w:left w:w="108" w:type="dxa"/>
        <w:bottom w:w="0" w:type="dxa"/>
        <w:right w:w="108" w:type="dxa"/>
      </w:tblCellMar>
    </w:tblPr>
    <w:tblStylePr w:type="firstRow">
      <w:rPr>
        <w:b/>
        <w:bCs/>
      </w:rPr>
      <w:tblPr/>
      <w:tcPr>
        <w:tcBorders>
          <w:bottom w:val="single" w:color="000000" w:sz="12" w:space="0"/>
          <w:tl2br w:val="nil"/>
          <w:tr2bl w:val="nil"/>
        </w:tcBorders>
      </w:tcPr>
    </w:tblStylePr>
    <w:tblStylePr w:type="lastRow">
      <w:rPr>
        <w:b/>
        <w:bCs/>
        <w:color w:val="auto"/>
      </w:rPr>
      <w:tblPr/>
      <w:tcPr>
        <w:tcBorders>
          <w:top w:val="single" w:color="000000" w:sz="6" w:space="0"/>
          <w:tl2br w:val="nil"/>
          <w:tr2bl w:val="nil"/>
        </w:tcBorders>
      </w:tcPr>
    </w:tblStylePr>
    <w:tblStylePr w:type="firstCol">
      <w:rPr>
        <w:b/>
        <w:bCs/>
      </w:rPr>
      <w:tblPr/>
      <w:tcPr>
        <w:tcBorders>
          <w:right w:val="single" w:color="000000" w:sz="12" w:space="0"/>
          <w:tl2br w:val="nil"/>
          <w:tr2bl w:val="nil"/>
        </w:tcBorders>
      </w:tcPr>
    </w:tblStylePr>
    <w:tblStylePr w:type="lastCol">
      <w:rPr>
        <w:b/>
        <w:bCs/>
      </w:rPr>
      <w:tblPr/>
      <w:tcPr>
        <w:tcBorders>
          <w:left w:val="single" w:color="000000" w:sz="6" w:space="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101">
    <w:name w:val="Table Simple 3"/>
    <w:basedOn w:val="88"/>
    <w:semiHidden/>
    <w:unhideWhenUsed/>
    <w:qFormat/>
    <w:uiPriority w:val="99"/>
    <w:pPr>
      <w:widowControl w:val="0"/>
      <w:jc w:val="both"/>
    </w:pPr>
    <w:rPr>
      <w:rFonts w:ascii="Times New Roman" w:hAnsi="Times New Roman"/>
    </w:rPr>
    <w:tblPr>
      <w:tblBorders>
        <w:top w:val="single" w:color="000000" w:sz="12" w:space="0"/>
        <w:left w:val="single" w:color="000000" w:sz="12" w:space="0"/>
        <w:bottom w:val="single" w:color="000000" w:sz="12" w:space="0"/>
        <w:right w:val="single" w:color="000000" w:sz="12" w:space="0"/>
      </w:tblBorders>
      <w:tblCellMar>
        <w:top w:w="0" w:type="dxa"/>
        <w:left w:w="108" w:type="dxa"/>
        <w:bottom w:w="0" w:type="dxa"/>
        <w:right w:w="108" w:type="dxa"/>
      </w:tblCellMar>
    </w:tblPr>
    <w:tcPr>
      <w:shd w:val="clear" w:color="auto" w:fill="auto"/>
    </w:tcPr>
    <w:tblStylePr w:type="firstRow">
      <w:rPr>
        <w:b/>
        <w:bCs/>
        <w:color w:val="FFFFFF"/>
      </w:rPr>
      <w:tblPr/>
      <w:tcPr>
        <w:tcBorders>
          <w:tl2br w:val="nil"/>
          <w:tr2bl w:val="nil"/>
        </w:tcBorders>
        <w:shd w:val="solid" w:color="000000" w:fill="FFFFFF"/>
      </w:tcPr>
    </w:tblStylePr>
  </w:style>
  <w:style w:type="table" w:styleId="102">
    <w:name w:val="Table Subtle 1"/>
    <w:basedOn w:val="88"/>
    <w:semiHidden/>
    <w:unhideWhenUsed/>
    <w:qFormat/>
    <w:uiPriority w:val="99"/>
    <w:pPr>
      <w:widowControl w:val="0"/>
      <w:jc w:val="both"/>
    </w:pPr>
    <w:rPr>
      <w:rFonts w:ascii="Times New Roman" w:hAnsi="Times New Roman"/>
    </w:rPr>
    <w:tblPr>
      <w:tblCellMar>
        <w:top w:w="0" w:type="dxa"/>
        <w:left w:w="108" w:type="dxa"/>
        <w:bottom w:w="0" w:type="dxa"/>
        <w:right w:w="108" w:type="dxa"/>
      </w:tblCellMar>
    </w:tblPr>
    <w:tblStylePr w:type="firstRow">
      <w:tblPr/>
      <w:tcPr>
        <w:tcBorders>
          <w:top w:val="single" w:color="000000" w:sz="6" w:space="0"/>
          <w:bottom w:val="single" w:color="000000" w:sz="12" w:space="0"/>
          <w:tl2br w:val="nil"/>
          <w:tr2bl w:val="nil"/>
        </w:tcBorders>
      </w:tcPr>
    </w:tblStylePr>
    <w:tblStylePr w:type="lastRow">
      <w:tblPr/>
      <w:tcPr>
        <w:tcBorders>
          <w:top w:val="single" w:color="000000" w:sz="12" w:space="0"/>
          <w:tl2br w:val="nil"/>
          <w:tr2bl w:val="nil"/>
        </w:tcBorders>
        <w:shd w:val="pct25" w:color="800080" w:fill="FFFFFF"/>
      </w:tcPr>
    </w:tblStylePr>
    <w:tblStylePr w:type="firstCol">
      <w:tblPr/>
      <w:tcPr>
        <w:tcBorders>
          <w:right w:val="single" w:color="000000" w:sz="12" w:space="0"/>
          <w:tl2br w:val="nil"/>
          <w:tr2bl w:val="nil"/>
        </w:tcBorders>
      </w:tcPr>
    </w:tblStylePr>
    <w:tblStylePr w:type="lastCol">
      <w:tblPr/>
      <w:tcPr>
        <w:tcBorders>
          <w:left w:val="single" w:color="000000" w:sz="12" w:space="0"/>
          <w:tl2br w:val="nil"/>
          <w:tr2bl w:val="nil"/>
        </w:tcBorders>
      </w:tcPr>
    </w:tblStylePr>
    <w:tblStylePr w:type="band1Horz">
      <w:tblPr/>
      <w:tcPr>
        <w:tcBorders>
          <w:bottom w:val="single" w:color="000000" w:sz="6" w:space="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03">
    <w:name w:val="Table Subtle 2"/>
    <w:basedOn w:val="88"/>
    <w:autoRedefine/>
    <w:semiHidden/>
    <w:unhideWhenUsed/>
    <w:qFormat/>
    <w:uiPriority w:val="99"/>
    <w:pPr>
      <w:widowControl w:val="0"/>
      <w:jc w:val="both"/>
    </w:pPr>
    <w:rPr>
      <w:rFonts w:ascii="Times New Roman" w:hAnsi="Times New Roman"/>
    </w:rPr>
    <w:tblPr>
      <w:tblBorders>
        <w:left w:val="single" w:color="000000" w:sz="6" w:space="0"/>
        <w:right w:val="single" w:color="000000" w:sz="6" w:space="0"/>
      </w:tblBorders>
      <w:tblCellMar>
        <w:top w:w="0" w:type="dxa"/>
        <w:left w:w="108" w:type="dxa"/>
        <w:bottom w:w="0" w:type="dxa"/>
        <w:right w:w="108" w:type="dxa"/>
      </w:tblCellMar>
    </w:tblPr>
    <w:tblStylePr w:type="firstRow">
      <w:tblPr/>
      <w:tcPr>
        <w:tcBorders>
          <w:bottom w:val="single" w:color="000000" w:sz="12" w:space="0"/>
          <w:tl2br w:val="nil"/>
          <w:tr2bl w:val="nil"/>
        </w:tcBorders>
      </w:tcPr>
    </w:tblStylePr>
    <w:tblStylePr w:type="lastRow">
      <w:tblPr/>
      <w:tcPr>
        <w:tcBorders>
          <w:top w:val="single" w:color="000000" w:sz="12" w:space="0"/>
          <w:tl2br w:val="nil"/>
          <w:tr2bl w:val="nil"/>
        </w:tcBorders>
      </w:tcPr>
    </w:tblStylePr>
    <w:tblStylePr w:type="firstCol">
      <w:tblPr/>
      <w:tcPr>
        <w:tcBorders>
          <w:right w:val="single" w:color="000000" w:sz="12" w:space="0"/>
          <w:tl2br w:val="nil"/>
          <w:tr2bl w:val="nil"/>
        </w:tcBorders>
        <w:shd w:val="pct25" w:color="008000" w:fill="FFFFFF"/>
      </w:tcPr>
    </w:tblStylePr>
    <w:tblStylePr w:type="lastCol">
      <w:tblPr/>
      <w:tcPr>
        <w:tcBorders>
          <w:left w:val="single" w:color="000000" w:sz="12" w:space="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04">
    <w:name w:val="Table 3D effects 1"/>
    <w:basedOn w:val="88"/>
    <w:semiHidden/>
    <w:unhideWhenUsed/>
    <w:qFormat/>
    <w:uiPriority w:val="99"/>
    <w:pPr>
      <w:widowControl w:val="0"/>
      <w:jc w:val="both"/>
    </w:pPr>
    <w:rPr>
      <w:rFonts w:ascii="Times New Roman" w:hAnsi="Times New Roman"/>
    </w:rPr>
    <w:tblPr>
      <w:tblCellMar>
        <w:top w:w="0" w:type="dxa"/>
        <w:left w:w="108" w:type="dxa"/>
        <w:bottom w:w="0" w:type="dxa"/>
        <w:right w:w="108" w:type="dxa"/>
      </w:tblCellMar>
    </w:tblPr>
    <w:tcPr>
      <w:shd w:val="solid" w:color="C0C0C0" w:fill="FFFFFF"/>
    </w:tcPr>
    <w:tblStylePr w:type="firstRow">
      <w:rPr>
        <w:b/>
        <w:bCs/>
        <w:color w:val="800080"/>
      </w:rPr>
      <w:tblPr/>
      <w:tcPr>
        <w:tcBorders>
          <w:bottom w:val="single" w:color="808080" w:sz="6" w:space="0"/>
          <w:tl2br w:val="nil"/>
          <w:tr2bl w:val="nil"/>
        </w:tcBorders>
      </w:tcPr>
    </w:tblStylePr>
    <w:tblStylePr w:type="lastRow">
      <w:tblPr/>
      <w:tcPr>
        <w:tcBorders>
          <w:top w:val="single" w:color="FFFFFF" w:sz="6" w:space="0"/>
          <w:tl2br w:val="nil"/>
          <w:tr2bl w:val="nil"/>
        </w:tcBorders>
      </w:tcPr>
    </w:tblStylePr>
    <w:tblStylePr w:type="firstCol">
      <w:rPr>
        <w:b/>
        <w:bCs/>
      </w:rPr>
      <w:tblPr/>
      <w:tcPr>
        <w:tcBorders>
          <w:right w:val="single" w:color="808080" w:sz="6" w:space="0"/>
          <w:tl2br w:val="nil"/>
          <w:tr2bl w:val="nil"/>
        </w:tcBorders>
      </w:tcPr>
    </w:tblStylePr>
    <w:tblStylePr w:type="lastCol">
      <w:tblPr/>
      <w:tcPr>
        <w:tcBorders>
          <w:left w:val="single" w:color="FFFFFF" w:sz="6" w:space="0"/>
          <w:tl2br w:val="nil"/>
          <w:tr2bl w:val="nil"/>
        </w:tcBorders>
      </w:tcPr>
    </w:tblStylePr>
    <w:tblStylePr w:type="neCell">
      <w:tblPr/>
      <w:tcPr>
        <w:tcBorders>
          <w:left w:val="nil"/>
          <w:bottom w:val="nil"/>
          <w:tl2br w:val="nil"/>
          <w:tr2bl w:val="nil"/>
        </w:tcBorders>
      </w:tcPr>
    </w:tblStylePr>
    <w:tblStylePr w:type="nwCell">
      <w:tblPr/>
      <w:tcPr>
        <w:tcBorders>
          <w:bottom w:val="nil"/>
          <w:right w:val="nil"/>
          <w:tl2br w:val="nil"/>
          <w:tr2bl w:val="nil"/>
        </w:tcBorders>
      </w:tcPr>
    </w:tblStylePr>
    <w:tblStylePr w:type="seCell">
      <w:tblPr/>
      <w:tcPr>
        <w:tcBorders>
          <w:top w:val="nil"/>
          <w:left w:val="nil"/>
          <w:tl2br w:val="nil"/>
          <w:tr2bl w:val="nil"/>
        </w:tcBorders>
      </w:tcPr>
    </w:tblStylePr>
    <w:tblStylePr w:type="swCell">
      <w:rPr>
        <w:color w:val="000080"/>
      </w:rPr>
      <w:tblPr/>
      <w:tcPr>
        <w:tcBorders>
          <w:top w:val="nil"/>
          <w:right w:val="nil"/>
          <w:tl2br w:val="nil"/>
          <w:tr2bl w:val="nil"/>
        </w:tcBorders>
      </w:tcPr>
    </w:tblStylePr>
  </w:style>
  <w:style w:type="table" w:styleId="105">
    <w:name w:val="Table 3D effects 2"/>
    <w:basedOn w:val="88"/>
    <w:semiHidden/>
    <w:unhideWhenUsed/>
    <w:qFormat/>
    <w:uiPriority w:val="99"/>
    <w:pPr>
      <w:widowControl w:val="0"/>
      <w:jc w:val="both"/>
    </w:pPr>
    <w:rPr>
      <w:rFonts w:ascii="Times New Roman" w:hAnsi="Times New Roman"/>
    </w:rPr>
    <w:tblPr>
      <w:tblCellMar>
        <w:top w:w="0" w:type="dxa"/>
        <w:left w:w="108" w:type="dxa"/>
        <w:bottom w:w="0" w:type="dxa"/>
        <w:right w:w="108" w:type="dxa"/>
      </w:tblCellMar>
    </w:tblPr>
    <w:tcPr>
      <w:shd w:val="solid" w:color="C0C0C0" w:fill="FFFFFF"/>
    </w:tcPr>
    <w:tblStylePr w:type="firstRow">
      <w:rPr>
        <w:b/>
        <w:bCs/>
      </w:rPr>
      <w:tblPr/>
      <w:tcPr>
        <w:tcBorders>
          <w:tl2br w:val="nil"/>
          <w:tr2bl w:val="nil"/>
        </w:tcBorders>
      </w:tcPr>
    </w:tblStylePr>
    <w:tblStylePr w:type="firstCol">
      <w:tblPr/>
      <w:tcPr>
        <w:tcBorders>
          <w:top w:val="nil"/>
          <w:bottom w:val="nil"/>
          <w:right w:val="single" w:color="808080" w:sz="6" w:space="0"/>
          <w:tl2br w:val="nil"/>
          <w:tr2bl w:val="nil"/>
        </w:tcBorders>
      </w:tcPr>
    </w:tblStylePr>
    <w:tblStylePr w:type="lastCol">
      <w:tblPr/>
      <w:tcPr>
        <w:tcBorders>
          <w:right w:val="single" w:color="FFFFFF" w:sz="6" w:space="0"/>
          <w:tl2br w:val="nil"/>
          <w:tr2bl w:val="nil"/>
        </w:tcBorders>
      </w:tcPr>
    </w:tblStylePr>
    <w:tblStylePr w:type="band1Horz">
      <w:tblPr/>
      <w:tcPr>
        <w:tcBorders>
          <w:top w:val="single" w:color="808080" w:sz="6" w:space="0"/>
          <w:bottom w:val="single" w:color="FFFFFF" w:sz="6" w:space="0"/>
          <w:tl2br w:val="nil"/>
          <w:tr2bl w:val="nil"/>
        </w:tcBorders>
      </w:tcPr>
    </w:tblStylePr>
    <w:tblStylePr w:type="swCell">
      <w:rPr>
        <w:b/>
        <w:bCs/>
      </w:rPr>
      <w:tblPr/>
      <w:tcPr>
        <w:tcBorders>
          <w:tl2br w:val="nil"/>
          <w:tr2bl w:val="nil"/>
        </w:tcBorders>
      </w:tcPr>
    </w:tblStylePr>
  </w:style>
  <w:style w:type="table" w:styleId="106">
    <w:name w:val="Table 3D effects 3"/>
    <w:basedOn w:val="88"/>
    <w:autoRedefine/>
    <w:semiHidden/>
    <w:unhideWhenUsed/>
    <w:qFormat/>
    <w:uiPriority w:val="99"/>
    <w:pPr>
      <w:widowControl w:val="0"/>
      <w:jc w:val="both"/>
    </w:pPr>
    <w:rPr>
      <w:rFonts w:ascii="Times New Roman" w:hAnsi="Times New Roman"/>
    </w:rPr>
    <w:tblPr>
      <w:tblCellMar>
        <w:top w:w="0" w:type="dxa"/>
        <w:left w:w="108" w:type="dxa"/>
        <w:bottom w:w="0" w:type="dxa"/>
        <w:right w:w="108" w:type="dxa"/>
      </w:tblCellMar>
    </w:tblPr>
    <w:tblStylePr w:type="firstRow">
      <w:rPr>
        <w:b/>
        <w:bCs/>
      </w:rPr>
      <w:tblPr/>
      <w:tcPr>
        <w:tcBorders>
          <w:tl2br w:val="nil"/>
          <w:tr2bl w:val="nil"/>
        </w:tcBorders>
      </w:tcPr>
    </w:tblStylePr>
    <w:tblStylePr w:type="firstCol">
      <w:tblPr/>
      <w:tcPr>
        <w:tcBorders>
          <w:top w:val="nil"/>
          <w:bottom w:val="nil"/>
          <w:right w:val="single" w:color="808080" w:sz="6" w:space="0"/>
          <w:tl2br w:val="nil"/>
          <w:tr2bl w:val="nil"/>
        </w:tcBorders>
      </w:tcPr>
    </w:tblStylePr>
    <w:tblStylePr w:type="lastCol">
      <w:tblPr/>
      <w:tcPr>
        <w:tcBorders>
          <w:right w:val="single" w:color="FFFFFF" w:sz="6" w:space="0"/>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color="808080" w:sz="6" w:space="0"/>
          <w:bottom w:val="single" w:color="FFFFFF" w:sz="6" w:space="0"/>
          <w:tl2br w:val="nil"/>
          <w:tr2bl w:val="nil"/>
        </w:tcBorders>
      </w:tcPr>
    </w:tblStylePr>
    <w:tblStylePr w:type="swCell">
      <w:rPr>
        <w:b/>
        <w:bCs/>
      </w:rPr>
      <w:tblPr/>
      <w:tcPr>
        <w:tcBorders>
          <w:tl2br w:val="nil"/>
          <w:tr2bl w:val="nil"/>
        </w:tcBorders>
      </w:tcPr>
    </w:tblStylePr>
  </w:style>
  <w:style w:type="table" w:styleId="107">
    <w:name w:val="Table List 1"/>
    <w:basedOn w:val="88"/>
    <w:semiHidden/>
    <w:unhideWhenUsed/>
    <w:qFormat/>
    <w:uiPriority w:val="99"/>
    <w:pPr>
      <w:widowControl w:val="0"/>
      <w:jc w:val="both"/>
    </w:pPr>
    <w:rPr>
      <w:rFonts w:ascii="Times New Roman" w:hAnsi="Times New Roman"/>
    </w:rPr>
    <w:tblPr>
      <w:tblBorders>
        <w:top w:val="single" w:color="008080" w:sz="12" w:space="0"/>
        <w:left w:val="single" w:color="008080" w:sz="6" w:space="0"/>
        <w:bottom w:val="single" w:color="008080" w:sz="12" w:space="0"/>
        <w:right w:val="single" w:color="008080" w:sz="6" w:space="0"/>
      </w:tblBorders>
      <w:tblCellMar>
        <w:top w:w="0" w:type="dxa"/>
        <w:left w:w="108" w:type="dxa"/>
        <w:bottom w:w="0" w:type="dxa"/>
        <w:right w:w="108" w:type="dxa"/>
      </w:tblCellMar>
    </w:tblPr>
    <w:tblStylePr w:type="firstRow">
      <w:rPr>
        <w:b/>
        <w:bCs/>
        <w:i/>
        <w:iCs/>
        <w:color w:val="800000"/>
      </w:rPr>
      <w:tblPr/>
      <w:tcPr>
        <w:tcBorders>
          <w:bottom w:val="single" w:color="000000" w:sz="6" w:space="0"/>
          <w:tl2br w:val="nil"/>
          <w:tr2bl w:val="nil"/>
        </w:tcBorders>
        <w:shd w:val="solid" w:color="C0C0C0" w:fill="FFFFFF"/>
      </w:tcPr>
    </w:tblStylePr>
    <w:tblStylePr w:type="lastRow">
      <w:tblPr/>
      <w:tcPr>
        <w:tcBorders>
          <w:top w:val="single" w:color="000000" w:sz="6" w:space="0"/>
          <w:tl2br w:val="nil"/>
          <w:tr2bl w:val="nil"/>
        </w:tcBorders>
      </w:tcPr>
    </w:tblStylePr>
    <w:tblStylePr w:type="band1Horz">
      <w:rPr>
        <w:color w:val="auto"/>
      </w:rPr>
      <w:tblPr/>
      <w:tcPr>
        <w:tcBorders>
          <w:tl2br w:val="nil"/>
          <w:tr2bl w:val="nil"/>
        </w:tcBorders>
        <w:shd w:val="solid" w:color="C0C0C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108">
    <w:name w:val="Table List 2"/>
    <w:basedOn w:val="88"/>
    <w:semiHidden/>
    <w:unhideWhenUsed/>
    <w:qFormat/>
    <w:uiPriority w:val="99"/>
    <w:pPr>
      <w:widowControl w:val="0"/>
      <w:jc w:val="both"/>
    </w:pPr>
    <w:rPr>
      <w:rFonts w:ascii="Times New Roman" w:hAnsi="Times New Roman"/>
    </w:rPr>
    <w:tblPr>
      <w:tblBorders>
        <w:bottom w:val="single" w:color="808080" w:sz="12" w:space="0"/>
      </w:tblBorders>
      <w:tblCellMar>
        <w:top w:w="0" w:type="dxa"/>
        <w:left w:w="108" w:type="dxa"/>
        <w:bottom w:w="0" w:type="dxa"/>
        <w:right w:w="108" w:type="dxa"/>
      </w:tblCellMar>
    </w:tblPr>
    <w:tblStylePr w:type="firstRow">
      <w:rPr>
        <w:b/>
        <w:bCs/>
        <w:color w:val="FFFFFF"/>
      </w:rPr>
      <w:tblPr/>
      <w:tcPr>
        <w:tcBorders>
          <w:bottom w:val="single" w:color="000000" w:sz="6" w:space="0"/>
          <w:tl2br w:val="nil"/>
          <w:tr2bl w:val="nil"/>
        </w:tcBorders>
        <w:shd w:val="pct75" w:color="008080" w:fill="008000"/>
      </w:tcPr>
    </w:tblStylePr>
    <w:tblStylePr w:type="lastRow">
      <w:tblPr/>
      <w:tcPr>
        <w:tcBorders>
          <w:top w:val="single" w:color="000000" w:sz="6" w:space="0"/>
          <w:tl2br w:val="nil"/>
          <w:tr2bl w:val="nil"/>
        </w:tcBorders>
      </w:tcPr>
    </w:tblStylePr>
    <w:tblStylePr w:type="band1Horz">
      <w:rPr>
        <w:color w:val="auto"/>
      </w:rPr>
      <w:tblPr/>
      <w:tcPr>
        <w:tcBorders>
          <w:tl2br w:val="nil"/>
          <w:tr2bl w:val="nil"/>
        </w:tcBorders>
        <w:shd w:val="pct20" w:color="00FF0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109">
    <w:name w:val="Table List 3"/>
    <w:basedOn w:val="88"/>
    <w:autoRedefine/>
    <w:semiHidden/>
    <w:unhideWhenUsed/>
    <w:qFormat/>
    <w:uiPriority w:val="99"/>
    <w:pPr>
      <w:widowControl w:val="0"/>
      <w:jc w:val="both"/>
    </w:pPr>
    <w:rPr>
      <w:rFonts w:ascii="Times New Roman" w:hAnsi="Times New Roman"/>
    </w:rPr>
    <w:tblPr>
      <w:tblBorders>
        <w:top w:val="single" w:color="000000" w:sz="12" w:space="0"/>
        <w:bottom w:val="single" w:color="000000" w:sz="12" w:space="0"/>
        <w:insideH w:val="single" w:color="000000" w:sz="6" w:space="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color="000000" w:sz="12" w:space="0"/>
          <w:tl2br w:val="nil"/>
          <w:tr2bl w:val="nil"/>
        </w:tcBorders>
      </w:tcPr>
    </w:tblStylePr>
    <w:tblStylePr w:type="lastRow">
      <w:tblPr/>
      <w:tcPr>
        <w:tcBorders>
          <w:top w:val="single" w:color="000000" w:sz="12" w:space="0"/>
          <w:tl2br w:val="nil"/>
          <w:tr2bl w:val="nil"/>
        </w:tcBorders>
      </w:tcPr>
    </w:tblStylePr>
    <w:tblStylePr w:type="swCell">
      <w:rPr>
        <w:i/>
        <w:iCs/>
        <w:color w:val="000080"/>
      </w:rPr>
      <w:tblPr/>
      <w:tcPr>
        <w:tcBorders>
          <w:tl2br w:val="nil"/>
          <w:tr2bl w:val="nil"/>
        </w:tcBorders>
      </w:tcPr>
    </w:tblStylePr>
  </w:style>
  <w:style w:type="table" w:styleId="110">
    <w:name w:val="Table List 4"/>
    <w:basedOn w:val="88"/>
    <w:semiHidden/>
    <w:unhideWhenUsed/>
    <w:qFormat/>
    <w:uiPriority w:val="99"/>
    <w:pPr>
      <w:widowControl w:val="0"/>
      <w:jc w:val="both"/>
    </w:pPr>
    <w:rPr>
      <w:rFonts w:ascii="Times New Roman" w:hAnsi="Times New Roman"/>
    </w:rPr>
    <w:tblPr>
      <w:tblBorders>
        <w:top w:val="single" w:color="000000" w:sz="12" w:space="0"/>
        <w:left w:val="single" w:color="000000" w:sz="12" w:space="0"/>
        <w:bottom w:val="single" w:color="000000" w:sz="12" w:space="0"/>
        <w:right w:val="single" w:color="000000" w:sz="12" w:space="0"/>
        <w:insideH w:val="single" w:color="000000" w:sz="6" w:space="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color="000000" w:sz="12" w:space="0"/>
          <w:tl2br w:val="nil"/>
          <w:tr2bl w:val="nil"/>
        </w:tcBorders>
        <w:shd w:val="solid" w:color="808080" w:fill="FFFFFF"/>
      </w:tcPr>
    </w:tblStylePr>
  </w:style>
  <w:style w:type="table" w:styleId="111">
    <w:name w:val="Table List 5"/>
    <w:basedOn w:val="88"/>
    <w:semiHidden/>
    <w:unhideWhenUsed/>
    <w:qFormat/>
    <w:uiPriority w:val="99"/>
    <w:pPr>
      <w:widowControl w:val="0"/>
      <w:jc w:val="both"/>
    </w:pPr>
    <w:rPr>
      <w:rFonts w:ascii="Times New Roman" w:hAnsi="Times New Roman"/>
    </w:rPr>
    <w:tblPr>
      <w:tblBorders>
        <w:top w:val="single" w:color="000000" w:sz="6" w:space="0"/>
        <w:left w:val="single" w:color="000000" w:sz="6" w:space="0"/>
        <w:bottom w:val="single" w:color="000000" w:sz="6" w:space="0"/>
        <w:right w:val="single" w:color="000000" w:sz="6" w:space="0"/>
        <w:insideH w:val="single" w:color="000000" w:sz="6" w:space="0"/>
      </w:tblBorders>
      <w:tblCellMar>
        <w:top w:w="0" w:type="dxa"/>
        <w:left w:w="108" w:type="dxa"/>
        <w:bottom w:w="0" w:type="dxa"/>
        <w:right w:w="108" w:type="dxa"/>
      </w:tblCellMar>
    </w:tblPr>
    <w:tcPr>
      <w:shd w:val="clear" w:color="auto" w:fill="auto"/>
    </w:tcPr>
    <w:tblStylePr w:type="firstRow">
      <w:rPr>
        <w:b/>
        <w:bCs/>
      </w:rPr>
      <w:tblPr/>
      <w:tcPr>
        <w:tcBorders>
          <w:bottom w:val="single" w:color="000000" w:sz="12" w:space="0"/>
          <w:tl2br w:val="nil"/>
          <w:tr2bl w:val="nil"/>
        </w:tcBorders>
      </w:tcPr>
    </w:tblStylePr>
    <w:tblStylePr w:type="firstCol">
      <w:rPr>
        <w:b/>
        <w:bCs/>
      </w:rPr>
      <w:tblPr/>
      <w:tcPr>
        <w:tcBorders>
          <w:tl2br w:val="nil"/>
          <w:tr2bl w:val="nil"/>
        </w:tcBorders>
      </w:tcPr>
    </w:tblStylePr>
  </w:style>
  <w:style w:type="table" w:styleId="112">
    <w:name w:val="Table List 6"/>
    <w:basedOn w:val="88"/>
    <w:autoRedefine/>
    <w:semiHidden/>
    <w:unhideWhenUsed/>
    <w:qFormat/>
    <w:uiPriority w:val="99"/>
    <w:pPr>
      <w:widowControl w:val="0"/>
      <w:jc w:val="both"/>
    </w:pPr>
    <w:rPr>
      <w:rFonts w:ascii="Times New Roman" w:hAnsi="Times New Roman"/>
    </w:rPr>
    <w:tblPr>
      <w:tblBorders>
        <w:top w:val="single" w:color="000000" w:sz="6" w:space="0"/>
        <w:left w:val="single" w:color="000000" w:sz="6" w:space="0"/>
        <w:bottom w:val="single" w:color="000000" w:sz="6" w:space="0"/>
        <w:right w:val="single" w:color="000000" w:sz="6" w:space="0"/>
      </w:tblBorders>
      <w:tblCellMar>
        <w:top w:w="0" w:type="dxa"/>
        <w:left w:w="108" w:type="dxa"/>
        <w:bottom w:w="0" w:type="dxa"/>
        <w:right w:w="108" w:type="dxa"/>
      </w:tblCellMar>
    </w:tblPr>
    <w:tcPr>
      <w:shd w:val="pct50" w:color="000000" w:fill="FFFFFF"/>
    </w:tcPr>
    <w:tblStylePr w:type="firstRow">
      <w:rPr>
        <w:b/>
        <w:bCs/>
      </w:rPr>
      <w:tblPr/>
      <w:tcPr>
        <w:tcBorders>
          <w:bottom w:val="single" w:color="000000" w:sz="12" w:space="0"/>
          <w:tl2br w:val="nil"/>
          <w:tr2bl w:val="nil"/>
        </w:tcBorders>
      </w:tcPr>
    </w:tblStylePr>
    <w:tblStylePr w:type="firstCol">
      <w:rPr>
        <w:b/>
        <w:bCs/>
      </w:rPr>
      <w:tblPr/>
      <w:tcPr>
        <w:tcBorders>
          <w:right w:val="single" w:color="000000" w:sz="12" w:space="0"/>
          <w:tl2br w:val="nil"/>
          <w:tr2bl w:val="nil"/>
        </w:tcBorders>
      </w:tcPr>
    </w:tblStylePr>
    <w:tblStylePr w:type="band1Horz">
      <w:tblPr/>
      <w:tcPr>
        <w:tcBorders>
          <w:tl2br w:val="nil"/>
          <w:tr2bl w:val="nil"/>
        </w:tcBorders>
        <w:shd w:val="pct25" w:color="000000" w:fill="FFFFFF"/>
      </w:tcPr>
    </w:tblStylePr>
    <w:tblStylePr w:type="nwCell">
      <w:tblPr/>
      <w:tcPr>
        <w:tcBorders>
          <w:tl2br w:val="single" w:color="000000" w:sz="6" w:space="0"/>
          <w:tr2bl w:val="nil"/>
        </w:tcBorders>
      </w:tcPr>
    </w:tblStylePr>
  </w:style>
  <w:style w:type="table" w:styleId="113">
    <w:name w:val="Table List 7"/>
    <w:basedOn w:val="88"/>
    <w:semiHidden/>
    <w:unhideWhenUsed/>
    <w:qFormat/>
    <w:uiPriority w:val="99"/>
    <w:pPr>
      <w:widowControl w:val="0"/>
      <w:jc w:val="both"/>
    </w:pPr>
    <w:rPr>
      <w:rFonts w:ascii="Times New Roman" w:hAnsi="Times New Roman"/>
    </w:rPr>
    <w:tblPr>
      <w:tblBorders>
        <w:top w:val="single" w:color="008000" w:sz="12" w:space="0"/>
        <w:left w:val="single" w:color="008000" w:sz="6" w:space="0"/>
        <w:bottom w:val="single" w:color="008000" w:sz="12" w:space="0"/>
        <w:right w:val="single" w:color="008000" w:sz="6" w:space="0"/>
        <w:insideH w:val="single" w:color="000000" w:sz="6" w:space="0"/>
      </w:tblBorders>
      <w:tblCellMar>
        <w:top w:w="0" w:type="dxa"/>
        <w:left w:w="108" w:type="dxa"/>
        <w:bottom w:w="0" w:type="dxa"/>
        <w:right w:w="108" w:type="dxa"/>
      </w:tblCellMar>
    </w:tblPr>
    <w:tblStylePr w:type="firstRow">
      <w:rPr>
        <w:b/>
        <w:bCs/>
      </w:rPr>
      <w:tblPr/>
      <w:tcPr>
        <w:tcBorders>
          <w:bottom w:val="single" w:color="008000" w:sz="12" w:space="0"/>
          <w:tl2br w:val="nil"/>
          <w:tr2bl w:val="nil"/>
        </w:tcBorders>
        <w:shd w:val="solid" w:color="C0C0C0" w:fill="FFFFFF"/>
      </w:tcPr>
    </w:tblStylePr>
    <w:tblStylePr w:type="lastRow">
      <w:rPr>
        <w:b/>
        <w:bCs/>
      </w:rPr>
      <w:tblPr/>
      <w:tcPr>
        <w:tcBorders>
          <w:top w:val="single" w:color="008000" w:sz="12"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0" w:color="000000" w:fill="FFFFFF"/>
      </w:tcPr>
    </w:tblStylePr>
    <w:tblStylePr w:type="band2Horz">
      <w:tblPr/>
      <w:tcPr>
        <w:tcBorders>
          <w:tl2br w:val="nil"/>
          <w:tr2bl w:val="nil"/>
        </w:tcBorders>
        <w:shd w:val="pct25" w:color="FFFF00" w:fill="FFFFFF"/>
      </w:tcPr>
    </w:tblStylePr>
  </w:style>
  <w:style w:type="table" w:styleId="114">
    <w:name w:val="Table List 8"/>
    <w:basedOn w:val="88"/>
    <w:semiHidden/>
    <w:unhideWhenUsed/>
    <w:qFormat/>
    <w:uiPriority w:val="99"/>
    <w:pPr>
      <w:widowControl w:val="0"/>
      <w:jc w:val="both"/>
    </w:pPr>
    <w:rPr>
      <w:rFonts w:ascii="Times New Roman" w:hAnsi="Times New Roman"/>
    </w:rPr>
    <w:tblPr>
      <w:tblBorders>
        <w:top w:val="single" w:color="000000" w:sz="6" w:space="0"/>
        <w:left w:val="single" w:color="000000" w:sz="6" w:space="0"/>
        <w:bottom w:val="single" w:color="000000" w:sz="6" w:space="0"/>
        <w:right w:val="single" w:color="000000" w:sz="6" w:space="0"/>
        <w:insideV w:val="single" w:color="000000" w:sz="6" w:space="0"/>
      </w:tblBorders>
      <w:tblCellMar>
        <w:top w:w="0" w:type="dxa"/>
        <w:left w:w="108" w:type="dxa"/>
        <w:bottom w:w="0" w:type="dxa"/>
        <w:right w:w="108" w:type="dxa"/>
      </w:tblCellMar>
    </w:tblPr>
    <w:tblStylePr w:type="firstRow">
      <w:rPr>
        <w:b/>
        <w:bCs/>
        <w:i/>
        <w:iCs/>
      </w:rPr>
      <w:tblPr/>
      <w:tcPr>
        <w:tcBorders>
          <w:bottom w:val="single" w:color="000000" w:sz="6" w:space="0"/>
          <w:tl2br w:val="nil"/>
          <w:tr2bl w:val="nil"/>
        </w:tcBorders>
        <w:shd w:val="solid" w:color="FFFF00" w:fill="FFFFFF"/>
      </w:tcPr>
    </w:tblStylePr>
    <w:tblStylePr w:type="lastRow">
      <w:rPr>
        <w:b/>
        <w:bCs/>
      </w:rPr>
      <w:tblPr/>
      <w:tcPr>
        <w:tcBorders>
          <w:top w:val="single" w:color="000000" w:sz="6"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5" w:color="FFFF00" w:fill="FFFFFF"/>
      </w:tcPr>
    </w:tblStylePr>
    <w:tblStylePr w:type="band2Horz">
      <w:tblPr/>
      <w:tcPr>
        <w:tcBorders>
          <w:tl2br w:val="nil"/>
          <w:tr2bl w:val="nil"/>
        </w:tcBorders>
        <w:shd w:val="pct50" w:color="FF0000" w:fill="FFFFFF"/>
      </w:tcPr>
    </w:tblStylePr>
    <w:tblStylePr w:type="nwCell">
      <w:tblPr/>
      <w:tcPr>
        <w:tcBorders>
          <w:tl2br w:val="single" w:color="auto" w:sz="6" w:space="0"/>
          <w:tr2bl w:val="nil"/>
        </w:tcBorders>
      </w:tcPr>
    </w:tblStylePr>
  </w:style>
  <w:style w:type="table" w:styleId="115">
    <w:name w:val="Table Contemporary"/>
    <w:basedOn w:val="88"/>
    <w:autoRedefine/>
    <w:semiHidden/>
    <w:unhideWhenUsed/>
    <w:qFormat/>
    <w:uiPriority w:val="99"/>
    <w:pPr>
      <w:widowControl w:val="0"/>
      <w:jc w:val="both"/>
    </w:pPr>
    <w:rPr>
      <w:rFonts w:ascii="Times New Roman" w:hAnsi="Times New Roman"/>
    </w:rPr>
    <w:tblPr>
      <w:tblBorders>
        <w:insideH w:val="single" w:color="FFFFFF" w:sz="18" w:space="0"/>
        <w:insideV w:val="single" w:color="FFFFFF" w:sz="18" w:space="0"/>
      </w:tblBorders>
      <w:tblCellMar>
        <w:top w:w="0" w:type="dxa"/>
        <w:left w:w="108" w:type="dxa"/>
        <w:bottom w:w="0" w:type="dxa"/>
        <w:right w:w="108" w:type="dxa"/>
      </w:tblCellMar>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styleId="116">
    <w:name w:val="Table Columns 1"/>
    <w:basedOn w:val="88"/>
    <w:autoRedefine/>
    <w:semiHidden/>
    <w:unhideWhenUsed/>
    <w:qFormat/>
    <w:uiPriority w:val="99"/>
    <w:pPr>
      <w:widowControl w:val="0"/>
      <w:jc w:val="both"/>
    </w:pPr>
    <w:rPr>
      <w:rFonts w:ascii="Times New Roman" w:hAnsi="Times New Roman"/>
      <w:b/>
      <w:bCs/>
    </w:rPr>
    <w:tblPr>
      <w:tblBorders>
        <w:top w:val="single" w:color="000000" w:sz="12" w:space="0"/>
        <w:left w:val="single" w:color="000000" w:sz="12" w:space="0"/>
        <w:bottom w:val="single" w:color="000000" w:sz="12" w:space="0"/>
        <w:right w:val="single" w:color="000000" w:sz="12" w:space="0"/>
      </w:tblBorders>
      <w:tblCellMar>
        <w:top w:w="0" w:type="dxa"/>
        <w:left w:w="108" w:type="dxa"/>
        <w:bottom w:w="0" w:type="dxa"/>
        <w:right w:w="108" w:type="dxa"/>
      </w:tblCellMar>
    </w:tblPr>
    <w:tblStylePr w:type="firstRow">
      <w:rPr>
        <w:b w:val="0"/>
        <w:bCs w:val="0"/>
      </w:rPr>
      <w:tblPr/>
      <w:tcPr>
        <w:tcBorders>
          <w:bottom w:val="double" w:color="000000" w:sz="6" w:space="0"/>
          <w:tl2br w:val="nil"/>
          <w:tr2bl w:val="nil"/>
        </w:tcBorders>
      </w:tcPr>
    </w:tblStylePr>
    <w:tblStylePr w:type="lastRow">
      <w:rPr>
        <w:b w:val="0"/>
        <w:bCs w:val="0"/>
      </w:rPr>
      <w:tblPr/>
      <w:tcPr>
        <w:tcBorders>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17">
    <w:name w:val="Table Columns 2"/>
    <w:basedOn w:val="88"/>
    <w:semiHidden/>
    <w:unhideWhenUsed/>
    <w:qFormat/>
    <w:uiPriority w:val="99"/>
    <w:pPr>
      <w:widowControl w:val="0"/>
      <w:jc w:val="both"/>
    </w:pPr>
    <w:rPr>
      <w:rFonts w:ascii="Times New Roman" w:hAnsi="Times New Roman"/>
      <w:b/>
      <w:bCs/>
    </w:rPr>
    <w:tblPr>
      <w:tblCellMar>
        <w:top w:w="0" w:type="dxa"/>
        <w:left w:w="108" w:type="dxa"/>
        <w:bottom w:w="0" w:type="dxa"/>
        <w:right w:w="108" w:type="dxa"/>
      </w:tblCellMar>
    </w:tblPr>
    <w:tblStylePr w:type="firstRow">
      <w:rPr>
        <w:color w:val="FFFFFF"/>
      </w:rPr>
      <w:tblPr/>
      <w:tcPr>
        <w:tcBorders>
          <w:tl2br w:val="nil"/>
          <w:tr2bl w:val="nil"/>
        </w:tcBorders>
        <w:shd w:val="solid" w:color="000080" w:fill="FFFFFF"/>
      </w:tcPr>
    </w:tblStylePr>
    <w:tblStylePr w:type="lastRow">
      <w:rPr>
        <w:b w:val="0"/>
        <w:bCs w:val="0"/>
      </w:rPr>
      <w:tblPr/>
      <w:tcPr>
        <w:tcBorders>
          <w:tl2br w:val="nil"/>
          <w:tr2bl w:val="nil"/>
        </w:tcBorders>
      </w:tcPr>
    </w:tblStylePr>
    <w:tblStylePr w:type="firstCol">
      <w:rPr>
        <w:b w:val="0"/>
        <w:bCs w:val="0"/>
        <w:color w:val="00000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18">
    <w:name w:val="Table Columns 3"/>
    <w:basedOn w:val="88"/>
    <w:semiHidden/>
    <w:unhideWhenUsed/>
    <w:qFormat/>
    <w:uiPriority w:val="99"/>
    <w:pPr>
      <w:widowControl w:val="0"/>
      <w:jc w:val="both"/>
    </w:pPr>
    <w:rPr>
      <w:rFonts w:ascii="Times New Roman" w:hAnsi="Times New Roman"/>
      <w:b/>
      <w:bCs/>
    </w:rPr>
    <w:tblPr>
      <w:tblBorders>
        <w:top w:val="single" w:color="000080" w:sz="6" w:space="0"/>
        <w:left w:val="single" w:color="000080" w:sz="6" w:space="0"/>
        <w:bottom w:val="single" w:color="000080" w:sz="6" w:space="0"/>
        <w:right w:val="single" w:color="000080" w:sz="6" w:space="0"/>
        <w:insideV w:val="single" w:color="000080" w:sz="6" w:space="0"/>
      </w:tblBorders>
      <w:tblCellMar>
        <w:top w:w="0" w:type="dxa"/>
        <w:left w:w="108" w:type="dxa"/>
        <w:bottom w:w="0" w:type="dxa"/>
        <w:right w:w="108" w:type="dxa"/>
      </w:tblCellMar>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color="000080" w:sz="6" w:space="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styleId="119">
    <w:name w:val="Table Columns 4"/>
    <w:basedOn w:val="88"/>
    <w:autoRedefine/>
    <w:semiHidden/>
    <w:unhideWhenUsed/>
    <w:qFormat/>
    <w:uiPriority w:val="99"/>
    <w:pPr>
      <w:widowControl w:val="0"/>
      <w:jc w:val="both"/>
    </w:pPr>
    <w:rPr>
      <w:rFonts w:ascii="Times New Roman" w:hAnsi="Times New Roman"/>
    </w:rPr>
    <w:tblPr>
      <w:tblCellMar>
        <w:top w:w="0" w:type="dxa"/>
        <w:left w:w="108" w:type="dxa"/>
        <w:bottom w:w="0" w:type="dxa"/>
        <w:right w:w="108" w:type="dxa"/>
      </w:tblCellMar>
    </w:tblPr>
    <w:tblStylePr w:type="firstRow">
      <w:rPr>
        <w:color w:val="FFFFFF"/>
      </w:rPr>
      <w:tblPr/>
      <w:tcPr>
        <w:tcBorders>
          <w:tl2br w:val="nil"/>
          <w:tr2bl w:val="nil"/>
        </w:tcBorders>
        <w:shd w:val="solid" w:color="0000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120">
    <w:name w:val="Table Columns 5"/>
    <w:basedOn w:val="88"/>
    <w:semiHidden/>
    <w:unhideWhenUsed/>
    <w:qFormat/>
    <w:uiPriority w:val="99"/>
    <w:pPr>
      <w:widowControl w:val="0"/>
      <w:jc w:val="both"/>
    </w:pPr>
    <w:rPr>
      <w:rFonts w:ascii="Times New Roman" w:hAnsi="Times New Roman"/>
    </w:rPr>
    <w:tblPr>
      <w:tblBorders>
        <w:top w:val="single" w:color="808080" w:sz="12" w:space="0"/>
        <w:left w:val="single" w:color="808080" w:sz="12" w:space="0"/>
        <w:bottom w:val="single" w:color="808080" w:sz="12" w:space="0"/>
        <w:right w:val="single" w:color="808080" w:sz="12" w:space="0"/>
        <w:insideV w:val="single" w:color="C0C0C0" w:sz="6" w:space="0"/>
      </w:tblBorders>
      <w:tblCellMar>
        <w:top w:w="0" w:type="dxa"/>
        <w:left w:w="108" w:type="dxa"/>
        <w:bottom w:w="0" w:type="dxa"/>
        <w:right w:w="108" w:type="dxa"/>
      </w:tblCellMar>
    </w:tblPr>
    <w:tblStylePr w:type="firstRow">
      <w:rPr>
        <w:b/>
        <w:bCs/>
        <w:i/>
        <w:iCs/>
      </w:rPr>
      <w:tblPr/>
      <w:tcPr>
        <w:tcBorders>
          <w:bottom w:val="single" w:color="808080" w:sz="6" w:space="0"/>
          <w:tl2br w:val="nil"/>
          <w:tr2bl w:val="nil"/>
        </w:tcBorders>
      </w:tcPr>
    </w:tblStylePr>
    <w:tblStylePr w:type="lastRow">
      <w:rPr>
        <w:b/>
        <w:bCs/>
      </w:rPr>
      <w:tblPr/>
      <w:tcPr>
        <w:tcBorders>
          <w:top w:val="single" w:color="808080" w:sz="6"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121">
    <w:name w:val="Table Grid 1"/>
    <w:basedOn w:val="88"/>
    <w:semiHidden/>
    <w:unhideWhenUsed/>
    <w:qFormat/>
    <w:uiPriority w:val="99"/>
    <w:pPr>
      <w:widowControl w:val="0"/>
      <w:jc w:val="both"/>
    </w:pPr>
    <w:rPr>
      <w:rFonts w:ascii="Times New Roman" w:hAnsi="Times New Roman"/>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color="000000" w:sz="6" w:space="0"/>
          <w:tr2bl w:val="nil"/>
        </w:tcBorders>
      </w:tcPr>
    </w:tblStylePr>
  </w:style>
  <w:style w:type="table" w:styleId="122">
    <w:name w:val="Table Grid 2"/>
    <w:basedOn w:val="88"/>
    <w:autoRedefine/>
    <w:semiHidden/>
    <w:unhideWhenUsed/>
    <w:qFormat/>
    <w:uiPriority w:val="99"/>
    <w:pPr>
      <w:widowControl w:val="0"/>
      <w:jc w:val="both"/>
    </w:pPr>
    <w:rPr>
      <w:rFonts w:ascii="Times New Roman" w:hAnsi="Times New Roman"/>
    </w:rPr>
    <w:tblPr>
      <w:tblBorders>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color="000000" w:sz="6"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123">
    <w:name w:val="Table Grid 3"/>
    <w:basedOn w:val="88"/>
    <w:semiHidden/>
    <w:unhideWhenUsed/>
    <w:qFormat/>
    <w:uiPriority w:val="99"/>
    <w:pPr>
      <w:widowControl w:val="0"/>
      <w:jc w:val="both"/>
    </w:pPr>
    <w:rPr>
      <w:rFonts w:ascii="Times New Roman" w:hAnsi="Times New Roman"/>
    </w:rPr>
    <w:tblPr>
      <w:tblBorders>
        <w:top w:val="single" w:color="000000" w:sz="6" w:space="0"/>
        <w:left w:val="single" w:color="000000" w:sz="12" w:space="0"/>
        <w:bottom w:val="single" w:color="000000" w:sz="6" w:space="0"/>
        <w:right w:val="single" w:color="000000" w:sz="12" w:space="0"/>
        <w:insideV w:val="single" w:color="000000" w:sz="6" w:space="0"/>
      </w:tblBorders>
      <w:tblCellMar>
        <w:top w:w="0" w:type="dxa"/>
        <w:left w:w="108" w:type="dxa"/>
        <w:bottom w:w="0" w:type="dxa"/>
        <w:right w:w="108" w:type="dxa"/>
      </w:tblCellMar>
    </w:tblPr>
    <w:tcPr>
      <w:shd w:val="clear" w:color="auto" w:fill="auto"/>
    </w:tcPr>
    <w:tblStylePr w:type="firstRow">
      <w:tblPr/>
      <w:tcPr>
        <w:tcBorders>
          <w:bottom w:val="single" w:color="000000" w:sz="6" w:space="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color="000000" w:sz="6" w:space="0"/>
          <w:tr2bl w:val="nil"/>
        </w:tcBorders>
      </w:tcPr>
    </w:tblStylePr>
  </w:style>
  <w:style w:type="table" w:styleId="124">
    <w:name w:val="Table Grid 4"/>
    <w:basedOn w:val="88"/>
    <w:semiHidden/>
    <w:unhideWhenUsed/>
    <w:qFormat/>
    <w:uiPriority w:val="99"/>
    <w:pPr>
      <w:widowControl w:val="0"/>
      <w:jc w:val="both"/>
    </w:pPr>
    <w:rPr>
      <w:rFonts w:ascii="Times New Roman" w:hAnsi="Times New Roman"/>
    </w:rPr>
    <w:tblPr>
      <w:tblBorders>
        <w:left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color w:val="auto"/>
      </w:rPr>
      <w:tblPr/>
      <w:tcPr>
        <w:tcBorders>
          <w:bottom w:val="single" w:color="000000" w:sz="6" w:space="0"/>
          <w:tl2br w:val="nil"/>
          <w:tr2bl w:val="nil"/>
        </w:tcBorders>
        <w:shd w:val="pct30" w:color="FFFF00" w:fill="FFFFFF"/>
      </w:tcPr>
    </w:tblStylePr>
    <w:tblStylePr w:type="lastRow">
      <w:rPr>
        <w:b/>
        <w:bCs/>
        <w:color w:val="auto"/>
      </w:rPr>
      <w:tblPr/>
      <w:tcPr>
        <w:tcBorders>
          <w:top w:val="single" w:color="000000" w:sz="6" w:space="0"/>
          <w:tl2br w:val="nil"/>
          <w:tr2bl w:val="nil"/>
        </w:tcBorders>
        <w:shd w:val="pct30" w:color="FFFF00" w:fill="FFFFFF"/>
      </w:tcPr>
    </w:tblStylePr>
    <w:tblStylePr w:type="lastCol">
      <w:rPr>
        <w:b/>
        <w:bCs/>
        <w:color w:val="auto"/>
      </w:rPr>
      <w:tblPr/>
      <w:tcPr>
        <w:tcBorders>
          <w:tl2br w:val="nil"/>
          <w:tr2bl w:val="nil"/>
        </w:tcBorders>
      </w:tcPr>
    </w:tblStylePr>
  </w:style>
  <w:style w:type="table" w:styleId="125">
    <w:name w:val="Table Grid 5"/>
    <w:basedOn w:val="88"/>
    <w:autoRedefine/>
    <w:semiHidden/>
    <w:unhideWhenUsed/>
    <w:qFormat/>
    <w:uiPriority w:val="99"/>
    <w:pPr>
      <w:widowControl w:val="0"/>
      <w:jc w:val="both"/>
    </w:pPr>
    <w:rPr>
      <w:rFonts w:ascii="Times New Roman" w:hAnsi="Times New Roman"/>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tblPr/>
      <w:tcPr>
        <w:tcBorders>
          <w:bottom w:val="single" w:color="000000" w:sz="12" w:space="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color="000000" w:sz="6" w:space="0"/>
          <w:tr2bl w:val="nil"/>
        </w:tcBorders>
      </w:tcPr>
    </w:tblStylePr>
  </w:style>
  <w:style w:type="table" w:styleId="126">
    <w:name w:val="Table Grid 6"/>
    <w:basedOn w:val="88"/>
    <w:semiHidden/>
    <w:unhideWhenUsed/>
    <w:qFormat/>
    <w:uiPriority w:val="99"/>
    <w:pPr>
      <w:widowControl w:val="0"/>
      <w:jc w:val="both"/>
    </w:pPr>
    <w:rPr>
      <w:rFonts w:ascii="Times New Roman" w:hAnsi="Times New Roman"/>
    </w:rPr>
    <w:tblPr>
      <w:tblBorders>
        <w:top w:val="single" w:color="000000" w:sz="12" w:space="0"/>
        <w:left w:val="single" w:color="000000" w:sz="12" w:space="0"/>
        <w:bottom w:val="single" w:color="000000" w:sz="12" w:space="0"/>
        <w:right w:val="single" w:color="000000" w:sz="12" w:space="0"/>
        <w:insideV w:val="single" w:color="000000" w:sz="6" w:space="0"/>
      </w:tblBorders>
      <w:tblCellMar>
        <w:top w:w="0" w:type="dxa"/>
        <w:left w:w="108" w:type="dxa"/>
        <w:bottom w:w="0" w:type="dxa"/>
        <w:right w:w="108" w:type="dxa"/>
      </w:tblCellMar>
    </w:tblPr>
    <w:tcPr>
      <w:shd w:val="clear" w:color="auto" w:fill="auto"/>
    </w:tcPr>
    <w:tblStylePr w:type="firstRow">
      <w:rPr>
        <w:b/>
        <w:bCs/>
      </w:rPr>
      <w:tblPr/>
      <w:tcPr>
        <w:tcBorders>
          <w:bottom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rPr>
        <w:b/>
        <w:bCs/>
      </w:rPr>
      <w:tblPr/>
      <w:tcPr>
        <w:tcBorders>
          <w:tl2br w:val="nil"/>
          <w:tr2bl w:val="nil"/>
        </w:tcBorders>
      </w:tcPr>
    </w:tblStylePr>
    <w:tblStylePr w:type="nwCell">
      <w:tblPr/>
      <w:tcPr>
        <w:tcBorders>
          <w:tl2br w:val="single" w:color="000000" w:sz="6" w:space="0"/>
          <w:tr2bl w:val="nil"/>
        </w:tcBorders>
      </w:tcPr>
    </w:tblStylePr>
  </w:style>
  <w:style w:type="table" w:styleId="127">
    <w:name w:val="Table Grid 7"/>
    <w:basedOn w:val="88"/>
    <w:semiHidden/>
    <w:unhideWhenUsed/>
    <w:qFormat/>
    <w:uiPriority w:val="99"/>
    <w:pPr>
      <w:widowControl w:val="0"/>
      <w:jc w:val="both"/>
    </w:pPr>
    <w:rPr>
      <w:rFonts w:ascii="Times New Roman" w:hAnsi="Times New Roman"/>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b w:val="0"/>
        <w:bCs w:val="0"/>
      </w:rPr>
      <w:tblPr/>
      <w:tcPr>
        <w:tcBorders>
          <w:bottom w:val="single" w:color="000000" w:sz="12" w:space="0"/>
          <w:tl2br w:val="nil"/>
          <w:tr2bl w:val="nil"/>
        </w:tcBorders>
      </w:tcPr>
    </w:tblStylePr>
    <w:tblStylePr w:type="lastRow">
      <w:rPr>
        <w:b w:val="0"/>
        <w:bCs w:val="0"/>
      </w:rPr>
      <w:tblPr/>
      <w:tcPr>
        <w:tcBorders>
          <w:top w:val="single" w:color="000000" w:sz="6" w:space="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color="000000" w:sz="6" w:space="0"/>
          <w:tr2bl w:val="nil"/>
        </w:tcBorders>
      </w:tcPr>
    </w:tblStylePr>
  </w:style>
  <w:style w:type="table" w:styleId="128">
    <w:name w:val="Table Grid 8"/>
    <w:basedOn w:val="88"/>
    <w:autoRedefine/>
    <w:semiHidden/>
    <w:unhideWhenUsed/>
    <w:qFormat/>
    <w:uiPriority w:val="99"/>
    <w:pPr>
      <w:widowControl w:val="0"/>
      <w:jc w:val="both"/>
    </w:pPr>
    <w:rPr>
      <w:rFonts w:ascii="Times New Roman" w:hAnsi="Times New Roman"/>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CellMar>
        <w:top w:w="0" w:type="dxa"/>
        <w:left w:w="108" w:type="dxa"/>
        <w:bottom w:w="0" w:type="dxa"/>
        <w:right w:w="108" w:type="dxa"/>
      </w:tblCellMar>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129">
    <w:name w:val="Table Web 1"/>
    <w:basedOn w:val="88"/>
    <w:semiHidden/>
    <w:unhideWhenUsed/>
    <w:qFormat/>
    <w:uiPriority w:val="99"/>
    <w:pPr>
      <w:widowControl w:val="0"/>
      <w:jc w:val="both"/>
    </w:pPr>
    <w:rPr>
      <w:rFonts w:ascii="Times New Roman" w:hAnsi="Times New Roman"/>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il"/>
          <w:tr2bl w:val="nil"/>
        </w:tcBorders>
      </w:tcPr>
    </w:tblStylePr>
  </w:style>
  <w:style w:type="table" w:styleId="130">
    <w:name w:val="Table Web 2"/>
    <w:basedOn w:val="88"/>
    <w:autoRedefine/>
    <w:semiHidden/>
    <w:unhideWhenUsed/>
    <w:qFormat/>
    <w:uiPriority w:val="99"/>
    <w:pPr>
      <w:widowControl w:val="0"/>
      <w:jc w:val="both"/>
    </w:pPr>
    <w:rPr>
      <w:rFonts w:ascii="Times New Roman" w:hAnsi="Times New Roman"/>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il"/>
          <w:tr2bl w:val="nil"/>
        </w:tcBorders>
      </w:tcPr>
    </w:tblStylePr>
  </w:style>
  <w:style w:type="table" w:styleId="131">
    <w:name w:val="Table Web 3"/>
    <w:basedOn w:val="88"/>
    <w:semiHidden/>
    <w:unhideWhenUsed/>
    <w:qFormat/>
    <w:uiPriority w:val="99"/>
    <w:pPr>
      <w:widowControl w:val="0"/>
      <w:jc w:val="both"/>
    </w:pPr>
    <w:rPr>
      <w:rFonts w:ascii="Times New Roman" w:hAnsi="Times New Roman"/>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il"/>
          <w:tr2bl w:val="nil"/>
        </w:tcBorders>
      </w:tcPr>
    </w:tblStylePr>
  </w:style>
  <w:style w:type="table" w:styleId="132">
    <w:name w:val="Table Professional"/>
    <w:basedOn w:val="88"/>
    <w:semiHidden/>
    <w:unhideWhenUsed/>
    <w:qFormat/>
    <w:uiPriority w:val="99"/>
    <w:pPr>
      <w:widowControl w:val="0"/>
      <w:jc w:val="both"/>
    </w:pPr>
    <w:rPr>
      <w:rFonts w:ascii="Times New Roman" w:hAnsi="Times New Roman"/>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b/>
        <w:bCs/>
        <w:color w:val="auto"/>
      </w:rPr>
      <w:tblPr/>
      <w:tcPr>
        <w:tcBorders>
          <w:tl2br w:val="nil"/>
          <w:tr2bl w:val="nil"/>
        </w:tcBorders>
        <w:shd w:val="solid" w:color="000000" w:fill="FFFFFF"/>
      </w:tcPr>
    </w:tblStylePr>
  </w:style>
  <w:style w:type="table" w:styleId="133">
    <w:name w:val="Light Shading"/>
    <w:basedOn w:val="88"/>
    <w:autoRedefine/>
    <w:qFormat/>
    <w:uiPriority w:val="60"/>
    <w:rPr>
      <w:rFonts w:ascii="Times New Roman" w:hAnsi="Times New Roman"/>
      <w:color w:val="000000" w:themeColor="text1" w:themeShade="BF"/>
    </w:rPr>
    <w:tblPr>
      <w:tblBorders>
        <w:top w:val="single" w:color="000000" w:themeColor="text1" w:sz="8" w:space="0"/>
        <w:bottom w:val="single" w:color="000000" w:themeColor="text1"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FBFBF" w:themeFill="text1" w:themeFillTint="3F"/>
      </w:tcPr>
    </w:tblStylePr>
    <w:tblStylePr w:type="band1Horz">
      <w:tblPr/>
      <w:tcPr>
        <w:tcBorders>
          <w:left w:val="nil"/>
          <w:right w:val="nil"/>
          <w:insideH w:val="nil"/>
          <w:insideV w:val="nil"/>
        </w:tcBorders>
        <w:shd w:val="clear" w:color="auto" w:fill="BFBFBF" w:themeFill="text1" w:themeFillTint="3F"/>
      </w:tcPr>
    </w:tblStylePr>
  </w:style>
  <w:style w:type="table" w:styleId="134">
    <w:name w:val="Light Shading Accent 1"/>
    <w:basedOn w:val="88"/>
    <w:qFormat/>
    <w:uiPriority w:val="60"/>
    <w:rPr>
      <w:rFonts w:ascii="Times New Roman" w:hAnsi="Times New Roman"/>
      <w:color w:val="366091" w:themeColor="accent1" w:themeShade="BF"/>
    </w:rPr>
    <w:tblPr>
      <w:tblBorders>
        <w:top w:val="single" w:color="4F81BD" w:themeColor="accent1" w:sz="8" w:space="0"/>
        <w:bottom w:val="single" w:color="4F81BD" w:themeColor="accent1"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135">
    <w:name w:val="Light Shading Accent 2"/>
    <w:basedOn w:val="88"/>
    <w:qFormat/>
    <w:uiPriority w:val="60"/>
    <w:rPr>
      <w:rFonts w:ascii="Times New Roman" w:hAnsi="Times New Roman"/>
      <w:color w:val="943734" w:themeColor="accent2" w:themeShade="BF"/>
    </w:rPr>
    <w:tblPr>
      <w:tblBorders>
        <w:top w:val="single" w:color="C0504D" w:themeColor="accent2" w:sz="8" w:space="0"/>
        <w:bottom w:val="single" w:color="C0504D" w:themeColor="accent2"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la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3" w:themeFill="accent2" w:themeFillTint="3F"/>
      </w:tcPr>
    </w:tblStylePr>
    <w:tblStylePr w:type="band1Horz">
      <w:tblPr/>
      <w:tcPr>
        <w:tcBorders>
          <w:left w:val="nil"/>
          <w:right w:val="nil"/>
          <w:insideH w:val="nil"/>
          <w:insideV w:val="nil"/>
        </w:tcBorders>
        <w:shd w:val="clear" w:color="auto" w:fill="EFD3D3" w:themeFill="accent2" w:themeFillTint="3F"/>
      </w:tcPr>
    </w:tblStylePr>
  </w:style>
  <w:style w:type="table" w:styleId="136">
    <w:name w:val="Light Shading Accent 3"/>
    <w:basedOn w:val="88"/>
    <w:qFormat/>
    <w:uiPriority w:val="60"/>
    <w:rPr>
      <w:rFonts w:ascii="Times New Roman" w:hAnsi="Times New Roman"/>
      <w:color w:val="76923C" w:themeColor="accent3" w:themeShade="BF"/>
    </w:rPr>
    <w:tblPr>
      <w:tblBorders>
        <w:top w:val="single" w:color="9BBB59" w:themeColor="accent3" w:sz="8" w:space="0"/>
        <w:bottom w:val="single" w:color="9BBB59" w:themeColor="accent3"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37">
    <w:name w:val="Light Shading Accent 4"/>
    <w:basedOn w:val="88"/>
    <w:qFormat/>
    <w:uiPriority w:val="60"/>
    <w:rPr>
      <w:rFonts w:ascii="Times New Roman" w:hAnsi="Times New Roman"/>
      <w:color w:val="5F497A" w:themeColor="accent4" w:themeShade="BF"/>
    </w:rPr>
    <w:tblPr>
      <w:tblBorders>
        <w:top w:val="single" w:color="8064A2" w:themeColor="accent4" w:sz="8" w:space="0"/>
        <w:bottom w:val="single" w:color="8064A2" w:themeColor="accent4"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la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138">
    <w:name w:val="Light Shading Accent 5"/>
    <w:basedOn w:val="88"/>
    <w:qFormat/>
    <w:uiPriority w:val="60"/>
    <w:rPr>
      <w:rFonts w:ascii="Times New Roman" w:hAnsi="Times New Roman"/>
      <w:color w:val="31849B" w:themeColor="accent5" w:themeShade="BF"/>
    </w:rPr>
    <w:tblPr>
      <w:tblBorders>
        <w:top w:val="single" w:color="4BACC6" w:themeColor="accent5" w:sz="8" w:space="0"/>
        <w:bottom w:val="single" w:color="4BACC6" w:themeColor="accent5"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la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0" w:themeFill="accent5" w:themeFillTint="3F"/>
      </w:tcPr>
    </w:tblStylePr>
    <w:tblStylePr w:type="band1Horz">
      <w:tblPr/>
      <w:tcPr>
        <w:tcBorders>
          <w:left w:val="nil"/>
          <w:right w:val="nil"/>
          <w:insideH w:val="nil"/>
          <w:insideV w:val="nil"/>
        </w:tcBorders>
        <w:shd w:val="clear" w:color="auto" w:fill="D2EAF0" w:themeFill="accent5" w:themeFillTint="3F"/>
      </w:tcPr>
    </w:tblStylePr>
  </w:style>
  <w:style w:type="table" w:styleId="139">
    <w:name w:val="Light Shading Accent 6"/>
    <w:basedOn w:val="88"/>
    <w:qFormat/>
    <w:uiPriority w:val="60"/>
    <w:rPr>
      <w:rFonts w:ascii="Times New Roman" w:hAnsi="Times New Roman"/>
      <w:color w:val="E36C09" w:themeColor="accent6" w:themeShade="BF"/>
    </w:rPr>
    <w:tblPr>
      <w:tblBorders>
        <w:top w:val="single" w:color="F79646" w:themeColor="accent6" w:sz="8" w:space="0"/>
        <w:bottom w:val="single" w:color="F79646" w:themeColor="accent6"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la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5D1" w:themeFill="accent6" w:themeFillTint="3F"/>
      </w:tcPr>
    </w:tblStylePr>
    <w:tblStylePr w:type="band1Horz">
      <w:tblPr/>
      <w:tcPr>
        <w:tcBorders>
          <w:left w:val="nil"/>
          <w:right w:val="nil"/>
          <w:insideH w:val="nil"/>
          <w:insideV w:val="nil"/>
        </w:tcBorders>
        <w:shd w:val="clear" w:color="auto" w:fill="FDE5D1" w:themeFill="accent6" w:themeFillTint="3F"/>
      </w:tcPr>
    </w:tblStylePr>
  </w:style>
  <w:style w:type="table" w:styleId="140">
    <w:name w:val="Light List"/>
    <w:basedOn w:val="88"/>
    <w:qFormat/>
    <w:uiPriority w:val="61"/>
    <w:rPr>
      <w:rFonts w:ascii="Times New Roman" w:hAnsi="Times New Roman"/>
    </w:rPr>
    <w:tblPr>
      <w:tblBorders>
        <w:top w:val="single" w:color="000000" w:themeColor="text1" w:sz="8" w:space="0"/>
        <w:left w:val="single" w:color="000000" w:themeColor="text1" w:sz="8" w:space="0"/>
        <w:bottom w:val="single" w:color="000000" w:themeColor="text1" w:sz="8" w:space="0"/>
        <w:right w:val="single" w:color="000000" w:themeColor="text1"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Col">
      <w:rPr>
        <w:b/>
        <w:bCs/>
      </w:r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table" w:styleId="141">
    <w:name w:val="Light List Accent 1"/>
    <w:basedOn w:val="88"/>
    <w:qFormat/>
    <w:uiPriority w:val="61"/>
    <w:rPr>
      <w:rFonts w:ascii="Times New Roman" w:hAnsi="Times New Roman"/>
    </w:rPr>
    <w:tblPr>
      <w:tblBorders>
        <w:top w:val="single" w:color="4F81BD" w:themeColor="accent1" w:sz="8" w:space="0"/>
        <w:left w:val="single" w:color="4F81BD" w:themeColor="accent1" w:sz="8" w:space="0"/>
        <w:bottom w:val="single" w:color="4F81BD" w:themeColor="accent1" w:sz="8" w:space="0"/>
        <w:right w:val="single" w:color="4F81BD" w:themeColor="accent1"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tcBorders>
      </w:tcPr>
    </w:tblStylePr>
    <w:tblStylePr w:type="firstCol">
      <w:rPr>
        <w:b/>
        <w:bCs/>
      </w:rPr>
    </w:tblStylePr>
    <w:tblStylePr w:type="lastCol">
      <w:rPr>
        <w:b/>
        <w:bCs/>
      </w:r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style>
  <w:style w:type="table" w:styleId="142">
    <w:name w:val="Light List Accent 2"/>
    <w:basedOn w:val="88"/>
    <w:qFormat/>
    <w:uiPriority w:val="61"/>
    <w:rPr>
      <w:rFonts w:ascii="Times New Roman" w:hAnsi="Times New Roman"/>
    </w:rPr>
    <w:tblPr>
      <w:tblBorders>
        <w:top w:val="single" w:color="C0504D" w:themeColor="accent2" w:sz="8" w:space="0"/>
        <w:left w:val="single" w:color="C0504D" w:themeColor="accent2" w:sz="8" w:space="0"/>
        <w:bottom w:val="single" w:color="C0504D" w:themeColor="accent2" w:sz="8" w:space="0"/>
        <w:right w:val="single" w:color="C0504D" w:themeColor="accent2"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tcBorders>
      </w:tcPr>
    </w:tblStylePr>
    <w:tblStylePr w:type="firstCol">
      <w:rPr>
        <w:b/>
        <w:bCs/>
      </w:rPr>
    </w:tblStylePr>
    <w:tblStylePr w:type="lastCol">
      <w:rPr>
        <w:b/>
        <w:bCs/>
      </w:r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style>
  <w:style w:type="table" w:styleId="143">
    <w:name w:val="Light List Accent 3"/>
    <w:basedOn w:val="88"/>
    <w:qFormat/>
    <w:uiPriority w:val="61"/>
    <w:rPr>
      <w:rFonts w:ascii="Times New Roman" w:hAnsi="Times New Roman"/>
    </w:rPr>
    <w:tblPr>
      <w:tblBorders>
        <w:top w:val="single" w:color="9BBB59" w:themeColor="accent3" w:sz="8" w:space="0"/>
        <w:left w:val="single" w:color="9BBB59" w:themeColor="accent3" w:sz="8" w:space="0"/>
        <w:bottom w:val="single" w:color="9BBB59" w:themeColor="accent3" w:sz="8" w:space="0"/>
        <w:right w:val="single" w:color="9BBB59" w:themeColor="accent3"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firstCol">
      <w:rPr>
        <w:b/>
        <w:bCs/>
      </w:rPr>
    </w:tblStylePr>
    <w:tblStylePr w:type="lastCol">
      <w:rPr>
        <w:b/>
        <w:bCs/>
      </w:r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style>
  <w:style w:type="table" w:styleId="144">
    <w:name w:val="Light List Accent 4"/>
    <w:basedOn w:val="88"/>
    <w:autoRedefine/>
    <w:qFormat/>
    <w:uiPriority w:val="61"/>
    <w:rPr>
      <w:rFonts w:ascii="Times New Roman" w:hAnsi="Times New Roman"/>
    </w:rPr>
    <w:tblPr>
      <w:tblBorders>
        <w:top w:val="single" w:color="8064A2" w:themeColor="accent4" w:sz="8" w:space="0"/>
        <w:left w:val="single" w:color="8064A2" w:themeColor="accent4" w:sz="8" w:space="0"/>
        <w:bottom w:val="single" w:color="8064A2" w:themeColor="accent4" w:sz="8" w:space="0"/>
        <w:right w:val="single" w:color="8064A2" w:themeColor="accent4"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tcBorders>
      </w:tcPr>
    </w:tblStylePr>
    <w:tblStylePr w:type="firstCol">
      <w:rPr>
        <w:b/>
        <w:bCs/>
      </w:rPr>
    </w:tblStylePr>
    <w:tblStylePr w:type="lastCol">
      <w:rPr>
        <w:b/>
        <w:bCs/>
      </w:r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style>
  <w:style w:type="table" w:styleId="145">
    <w:name w:val="Light List Accent 5"/>
    <w:basedOn w:val="88"/>
    <w:qFormat/>
    <w:uiPriority w:val="61"/>
    <w:rPr>
      <w:rFonts w:ascii="Times New Roman" w:hAnsi="Times New Roman"/>
    </w:rPr>
    <w:tblPr>
      <w:tblBorders>
        <w:top w:val="single" w:color="4BACC6" w:themeColor="accent5" w:sz="8" w:space="0"/>
        <w:left w:val="single" w:color="4BACC6" w:themeColor="accent5" w:sz="8" w:space="0"/>
        <w:bottom w:val="single" w:color="4BACC6" w:themeColor="accent5" w:sz="8" w:space="0"/>
        <w:right w:val="single" w:color="4BACC6" w:themeColor="accent5"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firstCol">
      <w:rPr>
        <w:b/>
        <w:bCs/>
      </w:rPr>
    </w:tblStylePr>
    <w:tblStylePr w:type="lastCol">
      <w:rPr>
        <w:b/>
        <w:bCs/>
      </w:r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style>
  <w:style w:type="table" w:styleId="146">
    <w:name w:val="Light List Accent 6"/>
    <w:basedOn w:val="88"/>
    <w:qFormat/>
    <w:uiPriority w:val="61"/>
    <w:rPr>
      <w:rFonts w:ascii="Times New Roman" w:hAnsi="Times New Roman"/>
    </w:rPr>
    <w:tblPr>
      <w:tblBorders>
        <w:top w:val="single" w:color="F79646" w:themeColor="accent6" w:sz="8" w:space="0"/>
        <w:left w:val="single" w:color="F79646" w:themeColor="accent6" w:sz="8" w:space="0"/>
        <w:bottom w:val="single" w:color="F79646" w:themeColor="accent6" w:sz="8" w:space="0"/>
        <w:right w:val="single" w:color="F79646" w:themeColor="accent6"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firstCol">
      <w:rPr>
        <w:b/>
        <w:bCs/>
      </w:rPr>
    </w:tblStylePr>
    <w:tblStylePr w:type="lastCol">
      <w:rPr>
        <w:b/>
        <w:bCs/>
      </w:r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style>
  <w:style w:type="table" w:styleId="147">
    <w:name w:val="Light Grid"/>
    <w:basedOn w:val="88"/>
    <w:qFormat/>
    <w:uiPriority w:val="62"/>
    <w:rPr>
      <w:rFonts w:ascii="Times New Roman" w:hAnsi="Times New Roman"/>
    </w:rPr>
    <w:tblP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BFBFBF"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sz="8" w:space="0"/>
        </w:tcBorders>
        <w:shd w:val="clear" w:color="auto" w:fill="BFBFBF"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sz="8" w:space="0"/>
        </w:tcBorders>
      </w:tcPr>
    </w:tblStylePr>
  </w:style>
  <w:style w:type="table" w:styleId="148">
    <w:name w:val="Light Grid Accent 1"/>
    <w:basedOn w:val="88"/>
    <w:qFormat/>
    <w:uiPriority w:val="62"/>
    <w:rPr>
      <w:rFonts w:ascii="Times New Roman" w:hAnsi="Times New Roman"/>
    </w:rPr>
    <w:tblPr>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sz="8" w:space="0"/>
        </w:tcBorders>
        <w:shd w:val="clear" w:color="auto" w:fill="D3DFEE" w:themeFill="accent1" w:themeFillTint="3F"/>
      </w:tcPr>
    </w:tblStylePr>
    <w:tblStylePr w:type="band2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sz="8" w:space="0"/>
        </w:tcBorders>
      </w:tcPr>
    </w:tblStylePr>
  </w:style>
  <w:style w:type="table" w:styleId="149">
    <w:name w:val="Light Grid Accent 2"/>
    <w:basedOn w:val="88"/>
    <w:qFormat/>
    <w:uiPriority w:val="62"/>
    <w:rPr>
      <w:rFonts w:ascii="Times New Roman" w:hAnsi="Times New Roman"/>
    </w:rPr>
    <w:tblPr>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3" w:themeFill="accent2" w:themeFillTint="3F"/>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sz="8" w:space="0"/>
        </w:tcBorders>
        <w:shd w:val="clear" w:color="auto" w:fill="EFD3D3" w:themeFill="accent2" w:themeFillTint="3F"/>
      </w:tcPr>
    </w:tblStylePr>
    <w:tblStylePr w:type="band2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sz="8" w:space="0"/>
        </w:tcBorders>
      </w:tcPr>
    </w:tblStylePr>
  </w:style>
  <w:style w:type="table" w:styleId="150">
    <w:name w:val="Light Grid Accent 3"/>
    <w:basedOn w:val="88"/>
    <w:qFormat/>
    <w:uiPriority w:val="62"/>
    <w:rPr>
      <w:rFonts w:ascii="Times New Roman" w:hAnsi="Times New Roman"/>
    </w:rPr>
    <w:tblPr>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sz="8" w:space="0"/>
        </w:tcBorders>
        <w:shd w:val="clear" w:color="auto" w:fill="E6EED5" w:themeFill="accent3" w:themeFillTint="3F"/>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sz="8" w:space="0"/>
        </w:tcBorders>
      </w:tcPr>
    </w:tblStylePr>
  </w:style>
  <w:style w:type="table" w:styleId="151">
    <w:name w:val="Light Grid Accent 4"/>
    <w:basedOn w:val="88"/>
    <w:qFormat/>
    <w:uiPriority w:val="62"/>
    <w:rPr>
      <w:rFonts w:ascii="Times New Roman" w:hAnsi="Times New Roman"/>
    </w:rPr>
    <w:tblPr>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18" w:space="0"/>
          <w:right w:val="single" w:color="8064A2" w:themeColor="accent4"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shd w:val="clear" w:color="auto" w:fill="DFD8E8" w:themeFill="accent4" w:themeFillTint="3F"/>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sz="8" w:space="0"/>
        </w:tcBorders>
        <w:shd w:val="clear" w:color="auto" w:fill="DFD8E8" w:themeFill="accent4" w:themeFillTint="3F"/>
      </w:tcPr>
    </w:tblStylePr>
    <w:tblStylePr w:type="band2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sz="8" w:space="0"/>
        </w:tcBorders>
      </w:tcPr>
    </w:tblStylePr>
  </w:style>
  <w:style w:type="table" w:styleId="152">
    <w:name w:val="Light Grid Accent 5"/>
    <w:basedOn w:val="88"/>
    <w:qFormat/>
    <w:uiPriority w:val="62"/>
    <w:rPr>
      <w:rFonts w:ascii="Times New Roman" w:hAnsi="Times New Roman"/>
    </w:rPr>
    <w:tblPr>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0" w:themeFill="accent5" w:themeFillTint="3F"/>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sz="8" w:space="0"/>
        </w:tcBorders>
        <w:shd w:val="clear" w:color="auto" w:fill="D2EAF0" w:themeFill="accent5" w:themeFillTint="3F"/>
      </w:tcPr>
    </w:tblStylePr>
    <w:tblStylePr w:type="band2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sz="8" w:space="0"/>
        </w:tcBorders>
      </w:tcPr>
    </w:tblStylePr>
  </w:style>
  <w:style w:type="table" w:styleId="153">
    <w:name w:val="Light Grid Accent 6"/>
    <w:basedOn w:val="88"/>
    <w:qFormat/>
    <w:uiPriority w:val="62"/>
    <w:rPr>
      <w:rFonts w:ascii="Times New Roman" w:hAnsi="Times New Roman"/>
    </w:rPr>
    <w:tblPr>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5D1" w:themeFill="accent6" w:themeFillTint="3F"/>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sz="8" w:space="0"/>
        </w:tcBorders>
        <w:shd w:val="clear" w:color="auto" w:fill="FDE5D1" w:themeFill="accent6" w:themeFillTint="3F"/>
      </w:tcPr>
    </w:tblStylePr>
    <w:tblStylePr w:type="band2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sz="8" w:space="0"/>
        </w:tcBorders>
      </w:tcPr>
    </w:tblStylePr>
  </w:style>
  <w:style w:type="table" w:styleId="154">
    <w:name w:val="Medium Shading 1"/>
    <w:basedOn w:val="88"/>
    <w:qFormat/>
    <w:uiPriority w:val="63"/>
    <w:rPr>
      <w:rFonts w:ascii="Times New Roman" w:hAnsi="Times New Roman"/>
    </w:rPr>
    <w:tblPr>
      <w:tbl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single" w:color="3F3F3F" w:themeColor="text1"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nil"/>
          <w:insideV w:val="nil"/>
        </w:tcBorders>
        <w:shd w:val="clear" w:color="auto" w:fill="000000" w:themeFill="text1"/>
      </w:tcPr>
    </w:tblStylePr>
    <w:tblStylePr w:type="lastRow">
      <w:pPr>
        <w:spacing w:before="0" w:after="0" w:line="240" w:lineRule="auto"/>
      </w:pPr>
      <w:rPr>
        <w:b/>
        <w:bCs/>
      </w:rPr>
      <w:tblPr/>
      <w:tcPr>
        <w:tcBorders>
          <w:top w:val="double" w:color="3F3F3F" w:themeColor="text1" w:themeTint="BF" w:sz="6" w:space="0"/>
          <w:left w:val="single" w:color="3F3F3F" w:themeColor="text1" w:themeTint="BF" w:sz="8" w:space="0"/>
          <w:bottom w:val="single" w:color="3F3F3F" w:themeColor="text1" w:themeTint="BF" w:sz="8" w:space="0"/>
          <w:right w:val="single" w:color="3F3F3F" w:themeColor="text1" w:themeTint="BF" w:sz="8" w:space="0"/>
          <w:insideH w:val="nil"/>
          <w:insideV w:val="nil"/>
        </w:tcBorders>
      </w:tcPr>
    </w:tblStylePr>
    <w:tblStylePr w:type="firstCol">
      <w:rPr>
        <w:b/>
        <w:bCs/>
      </w:rPr>
    </w:tblStylePr>
    <w:tblStylePr w:type="lastCol">
      <w:rPr>
        <w:b/>
        <w:bCs/>
      </w:rPr>
    </w:tblStylePr>
    <w:tblStylePr w:type="band1Vert">
      <w:tblPr/>
      <w:tcPr>
        <w:shd w:val="clear" w:color="auto" w:fill="BFBFBF" w:themeFill="text1" w:themeFillTint="3F"/>
      </w:tcPr>
    </w:tblStylePr>
    <w:tblStylePr w:type="band1Horz">
      <w:tblPr/>
      <w:tcPr>
        <w:tcBorders>
          <w:insideH w:val="nil"/>
          <w:insideV w:val="nil"/>
        </w:tcBorders>
        <w:shd w:val="clear" w:color="auto" w:fill="BFBFBF" w:themeFill="text1" w:themeFillTint="3F"/>
      </w:tcPr>
    </w:tblStylePr>
    <w:tblStylePr w:type="band2Horz">
      <w:tblPr/>
      <w:tcPr>
        <w:tcBorders>
          <w:insideH w:val="nil"/>
          <w:insideV w:val="nil"/>
        </w:tcBorders>
      </w:tcPr>
    </w:tblStylePr>
  </w:style>
  <w:style w:type="table" w:styleId="155">
    <w:name w:val="Medium Shading 1 Accent 1"/>
    <w:basedOn w:val="88"/>
    <w:qFormat/>
    <w:uiPriority w:val="63"/>
    <w:rPr>
      <w:rFonts w:ascii="Times New Roman" w:hAnsi="Times New Roman"/>
    </w:rPr>
    <w:tblPr>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tblStylePr w:type="lastRow">
      <w:pPr>
        <w:spacing w:before="0" w:after="0" w:line="240" w:lineRule="auto"/>
      </w:pPr>
      <w:rPr>
        <w:b/>
        <w:bCs/>
      </w:rPr>
      <w:tbl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56">
    <w:name w:val="Medium Shading 1 Accent 2"/>
    <w:basedOn w:val="88"/>
    <w:qFormat/>
    <w:uiPriority w:val="63"/>
    <w:rPr>
      <w:rFonts w:ascii="Times New Roman" w:hAnsi="Times New Roman"/>
    </w:rPr>
    <w:tblPr>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shd w:val="clear" w:color="auto" w:fill="C0504D" w:themeFill="accent2"/>
      </w:tcPr>
    </w:tblStylePr>
    <w:tblStylePr w:type="lastRow">
      <w:pPr>
        <w:spacing w:before="0" w:after="0" w:line="240" w:lineRule="auto"/>
      </w:pPr>
      <w:rPr>
        <w:b/>
        <w:bCs/>
      </w:rPr>
      <w:tblPr/>
      <w:tcPr>
        <w:tcBorders>
          <w:top w:val="double" w:color="CF7B79" w:themeColor="accent2" w:themeTint="BF" w:sz="6"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tcPr>
    </w:tblStylePr>
    <w:tblStylePr w:type="firstCol">
      <w:rPr>
        <w:b/>
        <w:bCs/>
      </w:rPr>
    </w:tblStylePr>
    <w:tblStylePr w:type="lastCol">
      <w:rPr>
        <w:b/>
        <w:bCs/>
      </w:rPr>
    </w:tblStylePr>
    <w:tblStylePr w:type="band1Vert">
      <w:tblPr/>
      <w:tcPr>
        <w:shd w:val="clear" w:color="auto" w:fill="EFD3D3" w:themeFill="accent2" w:themeFillTint="3F"/>
      </w:tcPr>
    </w:tblStylePr>
    <w:tblStylePr w:type="band1Horz">
      <w:tblPr/>
      <w:tcPr>
        <w:tcBorders>
          <w:insideH w:val="nil"/>
          <w:insideV w:val="nil"/>
        </w:tcBorders>
        <w:shd w:val="clear" w:color="auto" w:fill="EFD3D3" w:themeFill="accent2" w:themeFillTint="3F"/>
      </w:tcPr>
    </w:tblStylePr>
    <w:tblStylePr w:type="band2Horz">
      <w:tblPr/>
      <w:tcPr>
        <w:tcBorders>
          <w:insideH w:val="nil"/>
          <w:insideV w:val="nil"/>
        </w:tcBorders>
      </w:tcPr>
    </w:tblStylePr>
  </w:style>
  <w:style w:type="table" w:styleId="157">
    <w:name w:val="Medium Shading 1 Accent 3"/>
    <w:basedOn w:val="88"/>
    <w:qFormat/>
    <w:uiPriority w:val="63"/>
    <w:rPr>
      <w:rFonts w:ascii="Times New Roman" w:hAnsi="Times New Roman"/>
    </w:rPr>
    <w:tblPr>
      <w:tblBorders>
        <w:top w:val="single" w:color="B4CC82" w:themeColor="accent3" w:themeTint="BF" w:sz="8" w:space="0"/>
        <w:left w:val="single" w:color="B4CC82" w:themeColor="accent3" w:themeTint="BF" w:sz="8" w:space="0"/>
        <w:bottom w:val="single" w:color="B4CC82" w:themeColor="accent3" w:themeTint="BF" w:sz="8" w:space="0"/>
        <w:right w:val="single" w:color="B4CC82" w:themeColor="accent3" w:themeTint="BF" w:sz="8" w:space="0"/>
        <w:insideH w:val="single" w:color="B4CC82" w:themeColor="accent3"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B4CC82" w:themeColor="accent3" w:themeTint="BF" w:sz="8" w:space="0"/>
          <w:left w:val="single" w:color="B4CC82" w:themeColor="accent3" w:themeTint="BF" w:sz="8" w:space="0"/>
          <w:bottom w:val="single" w:color="B4CC82" w:themeColor="accent3" w:themeTint="BF" w:sz="8" w:space="0"/>
          <w:right w:val="single" w:color="B4CC82" w:themeColor="accent3" w:themeTint="BF" w:sz="8" w:space="0"/>
          <w:insideH w:val="nil"/>
          <w:insideV w:val="nil"/>
        </w:tcBorders>
        <w:shd w:val="clear" w:color="auto" w:fill="9BBB59" w:themeFill="accent3"/>
      </w:tcPr>
    </w:tblStylePr>
    <w:tblStylePr w:type="lastRow">
      <w:pPr>
        <w:spacing w:before="0" w:after="0" w:line="240" w:lineRule="auto"/>
      </w:pPr>
      <w:rPr>
        <w:b/>
        <w:bCs/>
      </w:rPr>
      <w:tblPr/>
      <w:tcPr>
        <w:tcBorders>
          <w:top w:val="double" w:color="B4CC82" w:themeColor="accent3" w:themeTint="BF" w:sz="6" w:space="0"/>
          <w:left w:val="single" w:color="B4CC82" w:themeColor="accent3" w:themeTint="BF" w:sz="8" w:space="0"/>
          <w:bottom w:val="single" w:color="B4CC82" w:themeColor="accent3" w:themeTint="BF" w:sz="8" w:space="0"/>
          <w:right w:val="single" w:color="B4CC82" w:themeColor="accent3" w:themeTint="BF" w:sz="8" w:space="0"/>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58">
    <w:name w:val="Medium Shading 1 Accent 4"/>
    <w:basedOn w:val="88"/>
    <w:autoRedefine/>
    <w:qFormat/>
    <w:uiPriority w:val="63"/>
    <w:rPr>
      <w:rFonts w:ascii="Times New Roman" w:hAnsi="Times New Roman"/>
    </w:rPr>
    <w:tblPr>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shd w:val="clear" w:color="auto" w:fill="8064A2" w:themeFill="accent4"/>
      </w:tcPr>
    </w:tblStylePr>
    <w:tblStylePr w:type="lastRow">
      <w:pPr>
        <w:spacing w:before="0" w:after="0" w:line="240" w:lineRule="auto"/>
      </w:pPr>
      <w:rPr>
        <w:b/>
        <w:bCs/>
      </w:rPr>
      <w:tblPr/>
      <w:tcPr>
        <w:tcBorders>
          <w:top w:val="double" w:color="9F8AB9" w:themeColor="accent4" w:themeTint="BF" w:sz="6"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9">
    <w:name w:val="Medium Shading 1 Accent 5"/>
    <w:basedOn w:val="88"/>
    <w:qFormat/>
    <w:uiPriority w:val="63"/>
    <w:rPr>
      <w:rFonts w:ascii="Times New Roman" w:hAnsi="Times New Roman"/>
    </w:rPr>
    <w:tblPr>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shd w:val="clear" w:color="auto" w:fill="4BACC6" w:themeFill="accent5"/>
      </w:tcPr>
    </w:tblStylePr>
    <w:tblStylePr w:type="lastRow">
      <w:pPr>
        <w:spacing w:before="0" w:after="0" w:line="240" w:lineRule="auto"/>
      </w:pPr>
      <w:rPr>
        <w:b/>
        <w:bCs/>
      </w:rPr>
      <w:tblPr/>
      <w:tcPr>
        <w:tcBorders>
          <w:top w:val="double" w:color="78C0D4" w:themeColor="accent5" w:themeTint="BF" w:sz="6"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tcPr>
    </w:tblStylePr>
    <w:tblStylePr w:type="firstCol">
      <w:rPr>
        <w:b/>
        <w:bCs/>
      </w:rPr>
    </w:tblStylePr>
    <w:tblStylePr w:type="lastCol">
      <w:rPr>
        <w:b/>
        <w:bCs/>
      </w:rPr>
    </w:tblStylePr>
    <w:tblStylePr w:type="band1Vert">
      <w:tblPr/>
      <w:tcPr>
        <w:shd w:val="clear" w:color="auto" w:fill="D2EAF0" w:themeFill="accent5" w:themeFillTint="3F"/>
      </w:tcPr>
    </w:tblStylePr>
    <w:tblStylePr w:type="band1Horz">
      <w:tblPr/>
      <w:tcPr>
        <w:tcBorders>
          <w:insideH w:val="nil"/>
          <w:insideV w:val="nil"/>
        </w:tcBorders>
        <w:shd w:val="clear" w:color="auto" w:fill="D2EAF0" w:themeFill="accent5" w:themeFillTint="3F"/>
      </w:tcPr>
    </w:tblStylePr>
    <w:tblStylePr w:type="band2Horz">
      <w:tblPr/>
      <w:tcPr>
        <w:tcBorders>
          <w:insideH w:val="nil"/>
          <w:insideV w:val="nil"/>
        </w:tcBorders>
      </w:tcPr>
    </w:tblStylePr>
  </w:style>
  <w:style w:type="table" w:styleId="160">
    <w:name w:val="Medium Shading 1 Accent 6"/>
    <w:basedOn w:val="88"/>
    <w:qFormat/>
    <w:uiPriority w:val="63"/>
    <w:rPr>
      <w:rFonts w:ascii="Times New Roman" w:hAnsi="Times New Roman"/>
    </w:rPr>
    <w:tblPr>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shd w:val="clear" w:color="auto" w:fill="F79646" w:themeFill="accent6"/>
      </w:tcPr>
    </w:tblStylePr>
    <w:tblStylePr w:type="lastRow">
      <w:pPr>
        <w:spacing w:before="0" w:after="0" w:line="240" w:lineRule="auto"/>
      </w:pPr>
      <w:rPr>
        <w:b/>
        <w:bCs/>
      </w:rPr>
      <w:tblPr/>
      <w:tcPr>
        <w:tcBorders>
          <w:top w:val="double" w:color="F9B074" w:themeColor="accent6" w:themeTint="BF" w:sz="6"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tcPr>
    </w:tblStylePr>
    <w:tblStylePr w:type="firstCol">
      <w:rPr>
        <w:b/>
        <w:bCs/>
      </w:rPr>
    </w:tblStylePr>
    <w:tblStylePr w:type="lastCol">
      <w:rPr>
        <w:b/>
        <w:bCs/>
      </w:rPr>
    </w:tblStylePr>
    <w:tblStylePr w:type="band1Vert">
      <w:tblPr/>
      <w:tcPr>
        <w:shd w:val="clear" w:color="auto" w:fill="FDE5D1" w:themeFill="accent6" w:themeFillTint="3F"/>
      </w:tcPr>
    </w:tblStylePr>
    <w:tblStylePr w:type="band1Horz">
      <w:tblPr/>
      <w:tcPr>
        <w:tcBorders>
          <w:insideH w:val="nil"/>
          <w:insideV w:val="nil"/>
        </w:tcBorders>
        <w:shd w:val="clear" w:color="auto" w:fill="FDE5D1" w:themeFill="accent6" w:themeFillTint="3F"/>
      </w:tcPr>
    </w:tblStylePr>
    <w:tblStylePr w:type="band2Horz">
      <w:tblPr/>
      <w:tcPr>
        <w:tcBorders>
          <w:insideH w:val="nil"/>
          <w:insideV w:val="nil"/>
        </w:tcBorders>
      </w:tcPr>
    </w:tblStylePr>
  </w:style>
  <w:style w:type="table" w:styleId="161">
    <w:name w:val="Medium Shading 2"/>
    <w:basedOn w:val="88"/>
    <w:qFormat/>
    <w:uiPriority w:val="64"/>
    <w:rPr>
      <w:rFonts w:ascii="Times New Roman" w:hAnsi="Times New Roman"/>
    </w:r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162">
    <w:name w:val="Medium Shading 2 Accent 1"/>
    <w:basedOn w:val="88"/>
    <w:qFormat/>
    <w:uiPriority w:val="64"/>
    <w:rPr>
      <w:rFonts w:ascii="Times New Roman" w:hAnsi="Times New Roman"/>
    </w:r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163">
    <w:name w:val="Medium Shading 2 Accent 2"/>
    <w:basedOn w:val="88"/>
    <w:qFormat/>
    <w:uiPriority w:val="64"/>
    <w:rPr>
      <w:rFonts w:ascii="Times New Roman" w:hAnsi="Times New Roman"/>
    </w:r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164">
    <w:name w:val="Medium Shading 2 Accent 3"/>
    <w:basedOn w:val="88"/>
    <w:qFormat/>
    <w:uiPriority w:val="64"/>
    <w:rPr>
      <w:rFonts w:ascii="Times New Roman" w:hAnsi="Times New Roman"/>
    </w:r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165">
    <w:name w:val="Medium Shading 2 Accent 4"/>
    <w:basedOn w:val="88"/>
    <w:qFormat/>
    <w:uiPriority w:val="64"/>
    <w:rPr>
      <w:rFonts w:ascii="Times New Roman" w:hAnsi="Times New Roman"/>
    </w:r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166">
    <w:name w:val="Medium Shading 2 Accent 5"/>
    <w:basedOn w:val="88"/>
    <w:autoRedefine/>
    <w:qFormat/>
    <w:uiPriority w:val="64"/>
    <w:rPr>
      <w:rFonts w:ascii="Times New Roman" w:hAnsi="Times New Roman"/>
    </w:r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167">
    <w:name w:val="Medium Shading 2 Accent 6"/>
    <w:basedOn w:val="88"/>
    <w:qFormat/>
    <w:uiPriority w:val="64"/>
    <w:rPr>
      <w:rFonts w:ascii="Times New Roman" w:hAnsi="Times New Roman"/>
    </w:r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168">
    <w:name w:val="Medium List 1"/>
    <w:basedOn w:val="88"/>
    <w:qFormat/>
    <w:uiPriority w:val="65"/>
    <w:rPr>
      <w:rFonts w:ascii="Times New Roman" w:hAnsi="Times New Roman"/>
      <w:color w:val="000000" w:themeColor="text1"/>
    </w:rPr>
    <w:tblPr>
      <w:tblBorders>
        <w:top w:val="single" w:color="000000" w:themeColor="text1" w:sz="8" w:space="0"/>
        <w:bottom w:val="single" w:color="000000" w:themeColor="text1"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000000" w:themeColor="text1" w:sz="8" w:space="0"/>
        </w:tcBorders>
      </w:tcPr>
    </w:tblStylePr>
    <w:tblStylePr w:type="lastRow">
      <w:rPr>
        <w:b/>
        <w:bCs/>
        <w:color w:val="1F497D" w:themeColor="text2"/>
      </w:rPr>
      <w:tblPr/>
      <w:tcPr>
        <w:tcBorders>
          <w:top w:val="single" w:color="000000" w:themeColor="text1" w:sz="8" w:space="0"/>
          <w:bottom w:val="single" w:color="000000" w:themeColor="text1" w:sz="8" w:space="0"/>
        </w:tcBorders>
      </w:tcPr>
    </w:tblStylePr>
    <w:tblStylePr w:type="firstCol">
      <w:rPr>
        <w:b/>
        <w:bCs/>
      </w:rPr>
    </w:tblStylePr>
    <w:tblStylePr w:type="lastCol">
      <w:rPr>
        <w:b/>
        <w:bCs/>
      </w:rPr>
      <w:tblPr/>
      <w:tcPr>
        <w:tcBorders>
          <w:top w:val="single" w:color="000000" w:themeColor="text1" w:sz="8" w:space="0"/>
          <w:bottom w:val="single" w:color="000000" w:themeColor="text1" w:sz="8" w:space="0"/>
        </w:tcBorders>
      </w:tcPr>
    </w:tblStylePr>
    <w:tblStylePr w:type="band1Vert">
      <w:tblPr/>
      <w:tcPr>
        <w:shd w:val="clear" w:color="auto" w:fill="BFBFBF" w:themeFill="text1" w:themeFillTint="3F"/>
      </w:tcPr>
    </w:tblStylePr>
    <w:tblStylePr w:type="band1Horz">
      <w:tblPr/>
      <w:tcPr>
        <w:shd w:val="clear" w:color="auto" w:fill="BFBFBF" w:themeFill="text1" w:themeFillTint="3F"/>
      </w:tcPr>
    </w:tblStylePr>
  </w:style>
  <w:style w:type="table" w:styleId="169">
    <w:name w:val="Medium List 1 Accent 1"/>
    <w:basedOn w:val="88"/>
    <w:qFormat/>
    <w:uiPriority w:val="65"/>
    <w:rPr>
      <w:rFonts w:ascii="Times New Roman" w:hAnsi="Times New Roman"/>
      <w:color w:val="000000" w:themeColor="text1"/>
    </w:rPr>
    <w:tblPr>
      <w:tblBorders>
        <w:top w:val="single" w:color="4F81BD" w:themeColor="accent1" w:sz="8" w:space="0"/>
        <w:bottom w:val="single" w:color="4F81BD" w:themeColor="accent1"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4F81BD" w:themeColor="accent1" w:sz="8" w:space="0"/>
        </w:tcBorders>
      </w:tcPr>
    </w:tblStylePr>
    <w:tblStylePr w:type="lastRow">
      <w:rPr>
        <w:b/>
        <w:bCs/>
        <w:color w:val="1F497D" w:themeColor="text2"/>
      </w:rPr>
      <w:tblPr/>
      <w:tcPr>
        <w:tcBorders>
          <w:top w:val="single" w:color="4F81BD" w:themeColor="accent1" w:sz="8" w:space="0"/>
          <w:bottom w:val="single" w:color="4F81BD" w:themeColor="accent1" w:sz="8" w:space="0"/>
        </w:tcBorders>
      </w:tcPr>
    </w:tblStylePr>
    <w:tblStylePr w:type="firstCol">
      <w:rPr>
        <w:b/>
        <w:bCs/>
      </w:rPr>
    </w:tblStylePr>
    <w:tblStylePr w:type="lastCol">
      <w:rPr>
        <w:b/>
        <w:bCs/>
      </w:rPr>
      <w:tblPr/>
      <w:tcPr>
        <w:tcBorders>
          <w:top w:val="single" w:color="4F81BD" w:themeColor="accent1" w:sz="8" w:space="0"/>
          <w:bottom w:val="single" w:color="4F81BD" w:themeColor="accent1" w:sz="8" w:space="0"/>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70">
    <w:name w:val="Medium List 1 Accent 2"/>
    <w:basedOn w:val="88"/>
    <w:qFormat/>
    <w:uiPriority w:val="65"/>
    <w:rPr>
      <w:rFonts w:ascii="Times New Roman" w:hAnsi="Times New Roman"/>
      <w:color w:val="000000" w:themeColor="text1"/>
    </w:rPr>
    <w:tblPr>
      <w:tblBorders>
        <w:top w:val="single" w:color="C0504D" w:themeColor="accent2" w:sz="8" w:space="0"/>
        <w:bottom w:val="single" w:color="C0504D" w:themeColor="accent2"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C0504D" w:themeColor="accent2" w:sz="8" w:space="0"/>
        </w:tcBorders>
      </w:tcPr>
    </w:tblStylePr>
    <w:tblStylePr w:type="lastRow">
      <w:rPr>
        <w:b/>
        <w:bCs/>
        <w:color w:val="1F497D" w:themeColor="text2"/>
      </w:rPr>
      <w:tblPr/>
      <w:tcPr>
        <w:tcBorders>
          <w:top w:val="single" w:color="C0504D" w:themeColor="accent2" w:sz="8" w:space="0"/>
          <w:bottom w:val="single" w:color="C0504D" w:themeColor="accent2" w:sz="8" w:space="0"/>
        </w:tcBorders>
      </w:tcPr>
    </w:tblStylePr>
    <w:tblStylePr w:type="firstCol">
      <w:rPr>
        <w:b/>
        <w:bCs/>
      </w:rPr>
    </w:tblStylePr>
    <w:tblStylePr w:type="lastCol">
      <w:rPr>
        <w:b/>
        <w:bCs/>
      </w:rPr>
      <w:tblPr/>
      <w:tcPr>
        <w:tcBorders>
          <w:top w:val="single" w:color="C0504D" w:themeColor="accent2" w:sz="8" w:space="0"/>
          <w:bottom w:val="single" w:color="C0504D" w:themeColor="accent2" w:sz="8" w:space="0"/>
        </w:tcBorders>
      </w:tcPr>
    </w:tblStylePr>
    <w:tblStylePr w:type="band1Vert">
      <w:tblPr/>
      <w:tcPr>
        <w:shd w:val="clear" w:color="auto" w:fill="EFD3D3" w:themeFill="accent2" w:themeFillTint="3F"/>
      </w:tcPr>
    </w:tblStylePr>
    <w:tblStylePr w:type="band1Horz">
      <w:tblPr/>
      <w:tcPr>
        <w:shd w:val="clear" w:color="auto" w:fill="EFD3D3" w:themeFill="accent2" w:themeFillTint="3F"/>
      </w:tcPr>
    </w:tblStylePr>
  </w:style>
  <w:style w:type="table" w:styleId="171">
    <w:name w:val="Medium List 1 Accent 3"/>
    <w:basedOn w:val="88"/>
    <w:qFormat/>
    <w:uiPriority w:val="65"/>
    <w:rPr>
      <w:rFonts w:ascii="Times New Roman" w:hAnsi="Times New Roman"/>
      <w:color w:val="000000" w:themeColor="text1"/>
    </w:rPr>
    <w:tblPr>
      <w:tblBorders>
        <w:top w:val="single" w:color="9BBB59" w:themeColor="accent3" w:sz="8" w:space="0"/>
        <w:bottom w:val="single" w:color="9BBB59" w:themeColor="accent3"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9BBB59" w:themeColor="accent3" w:sz="8" w:space="0"/>
        </w:tcBorders>
      </w:tcPr>
    </w:tblStylePr>
    <w:tblStylePr w:type="lastRow">
      <w:rPr>
        <w:b/>
        <w:bCs/>
        <w:color w:val="1F497D" w:themeColor="text2"/>
      </w:rPr>
      <w:tblPr/>
      <w:tcPr>
        <w:tcBorders>
          <w:top w:val="single" w:color="9BBB59" w:themeColor="accent3" w:sz="8" w:space="0"/>
          <w:bottom w:val="single" w:color="9BBB59" w:themeColor="accent3" w:sz="8" w:space="0"/>
        </w:tcBorders>
      </w:tcPr>
    </w:tblStylePr>
    <w:tblStylePr w:type="firstCol">
      <w:rPr>
        <w:b/>
        <w:bCs/>
      </w:rPr>
    </w:tblStylePr>
    <w:tblStylePr w:type="lastCol">
      <w:rPr>
        <w:b/>
        <w:bCs/>
      </w:rPr>
      <w:tblPr/>
      <w:tcPr>
        <w:tcBorders>
          <w:top w:val="single" w:color="9BBB59" w:themeColor="accent3" w:sz="8" w:space="0"/>
          <w:bottom w:val="single" w:color="9BBB59" w:themeColor="accent3" w:sz="8" w:space="0"/>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72">
    <w:name w:val="Medium List 1 Accent 4"/>
    <w:basedOn w:val="88"/>
    <w:qFormat/>
    <w:uiPriority w:val="65"/>
    <w:rPr>
      <w:rFonts w:ascii="Times New Roman" w:hAnsi="Times New Roman"/>
      <w:color w:val="000000" w:themeColor="text1"/>
    </w:rPr>
    <w:tblPr>
      <w:tblBorders>
        <w:top w:val="single" w:color="8064A2" w:themeColor="accent4" w:sz="8" w:space="0"/>
        <w:bottom w:val="single" w:color="8064A2" w:themeColor="accent4"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8064A2" w:themeColor="accent4" w:sz="8" w:space="0"/>
        </w:tcBorders>
      </w:tcPr>
    </w:tblStylePr>
    <w:tblStylePr w:type="lastRow">
      <w:rPr>
        <w:b/>
        <w:bCs/>
        <w:color w:val="1F497D" w:themeColor="text2"/>
      </w:rPr>
      <w:tblPr/>
      <w:tcPr>
        <w:tcBorders>
          <w:top w:val="single" w:color="8064A2" w:themeColor="accent4" w:sz="8" w:space="0"/>
          <w:bottom w:val="single" w:color="8064A2" w:themeColor="accent4" w:sz="8" w:space="0"/>
        </w:tcBorders>
      </w:tcPr>
    </w:tblStylePr>
    <w:tblStylePr w:type="firstCol">
      <w:rPr>
        <w:b/>
        <w:bCs/>
      </w:rPr>
    </w:tblStylePr>
    <w:tblStylePr w:type="lastCol">
      <w:rPr>
        <w:b/>
        <w:bCs/>
      </w:rPr>
      <w:tblPr/>
      <w:tcPr>
        <w:tcBorders>
          <w:top w:val="single" w:color="8064A2" w:themeColor="accent4" w:sz="8" w:space="0"/>
          <w:bottom w:val="single" w:color="8064A2" w:themeColor="accent4" w:sz="8" w:space="0"/>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73">
    <w:name w:val="Medium List 1 Accent 5"/>
    <w:basedOn w:val="88"/>
    <w:qFormat/>
    <w:uiPriority w:val="65"/>
    <w:rPr>
      <w:rFonts w:ascii="Times New Roman" w:hAnsi="Times New Roman"/>
      <w:color w:val="000000" w:themeColor="text1"/>
    </w:rPr>
    <w:tblPr>
      <w:tblBorders>
        <w:top w:val="single" w:color="4BACC6" w:themeColor="accent5" w:sz="8" w:space="0"/>
        <w:bottom w:val="single" w:color="4BACC6" w:themeColor="accent5"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4BACC6" w:themeColor="accent5" w:sz="8" w:space="0"/>
        </w:tcBorders>
      </w:tcPr>
    </w:tblStylePr>
    <w:tblStylePr w:type="lastRow">
      <w:rPr>
        <w:b/>
        <w:bCs/>
        <w:color w:val="1F497D" w:themeColor="text2"/>
      </w:rPr>
      <w:tblPr/>
      <w:tcPr>
        <w:tcBorders>
          <w:top w:val="single" w:color="4BACC6" w:themeColor="accent5" w:sz="8" w:space="0"/>
          <w:bottom w:val="single" w:color="4BACC6" w:themeColor="accent5" w:sz="8" w:space="0"/>
        </w:tcBorders>
      </w:tcPr>
    </w:tblStylePr>
    <w:tblStylePr w:type="firstCol">
      <w:rPr>
        <w:b/>
        <w:bCs/>
      </w:rPr>
    </w:tblStylePr>
    <w:tblStylePr w:type="lastCol">
      <w:rPr>
        <w:b/>
        <w:bCs/>
      </w:rPr>
      <w:tblPr/>
      <w:tcPr>
        <w:tcBorders>
          <w:top w:val="single" w:color="4BACC6" w:themeColor="accent5" w:sz="8" w:space="0"/>
          <w:bottom w:val="single" w:color="4BACC6" w:themeColor="accent5" w:sz="8" w:space="0"/>
        </w:tcBorders>
      </w:tcPr>
    </w:tblStylePr>
    <w:tblStylePr w:type="band1Vert">
      <w:tblPr/>
      <w:tcPr>
        <w:shd w:val="clear" w:color="auto" w:fill="D2EAF0" w:themeFill="accent5" w:themeFillTint="3F"/>
      </w:tcPr>
    </w:tblStylePr>
    <w:tblStylePr w:type="band1Horz">
      <w:tblPr/>
      <w:tcPr>
        <w:shd w:val="clear" w:color="auto" w:fill="D2EAF0" w:themeFill="accent5" w:themeFillTint="3F"/>
      </w:tcPr>
    </w:tblStylePr>
  </w:style>
  <w:style w:type="table" w:styleId="174">
    <w:name w:val="Medium List 1 Accent 6"/>
    <w:basedOn w:val="88"/>
    <w:qFormat/>
    <w:uiPriority w:val="65"/>
    <w:rPr>
      <w:rFonts w:ascii="Times New Roman" w:hAnsi="Times New Roman"/>
      <w:color w:val="000000" w:themeColor="text1"/>
    </w:rPr>
    <w:tblPr>
      <w:tblBorders>
        <w:top w:val="single" w:color="F79646" w:themeColor="accent6" w:sz="8" w:space="0"/>
        <w:bottom w:val="single" w:color="F79646" w:themeColor="accent6"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F79646" w:themeColor="accent6" w:sz="8" w:space="0"/>
        </w:tcBorders>
      </w:tcPr>
    </w:tblStylePr>
    <w:tblStylePr w:type="lastRow">
      <w:rPr>
        <w:b/>
        <w:bCs/>
        <w:color w:val="1F497D" w:themeColor="text2"/>
      </w:rPr>
      <w:tblPr/>
      <w:tcPr>
        <w:tcBorders>
          <w:top w:val="single" w:color="F79646" w:themeColor="accent6" w:sz="8" w:space="0"/>
          <w:bottom w:val="single" w:color="F79646" w:themeColor="accent6" w:sz="8" w:space="0"/>
        </w:tcBorders>
      </w:tcPr>
    </w:tblStylePr>
    <w:tblStylePr w:type="firstCol">
      <w:rPr>
        <w:b/>
        <w:bCs/>
      </w:rPr>
    </w:tblStylePr>
    <w:tblStylePr w:type="lastCol">
      <w:rPr>
        <w:b/>
        <w:bCs/>
      </w:rPr>
      <w:tblPr/>
      <w:tcPr>
        <w:tcBorders>
          <w:top w:val="single" w:color="F79646" w:themeColor="accent6" w:sz="8" w:space="0"/>
          <w:bottom w:val="single" w:color="F79646" w:themeColor="accent6" w:sz="8" w:space="0"/>
        </w:tcBorders>
      </w:tcPr>
    </w:tblStylePr>
    <w:tblStylePr w:type="band1Vert">
      <w:tblPr/>
      <w:tcPr>
        <w:shd w:val="clear" w:color="auto" w:fill="FDE5D1" w:themeFill="accent6" w:themeFillTint="3F"/>
      </w:tcPr>
    </w:tblStylePr>
    <w:tblStylePr w:type="band1Horz">
      <w:tblPr/>
      <w:tcPr>
        <w:shd w:val="clear" w:color="auto" w:fill="FDE5D1" w:themeFill="accent6" w:themeFillTint="3F"/>
      </w:tcPr>
    </w:tblStylePr>
  </w:style>
  <w:style w:type="table" w:styleId="175">
    <w:name w:val="Medium List 2"/>
    <w:basedOn w:val="88"/>
    <w:qFormat/>
    <w:uiPriority w:val="66"/>
    <w:rPr>
      <w:rFonts w:asciiTheme="minorHAnsi" w:hAnsiTheme="minorHAnsi" w:eastAsiaTheme="minorEastAsia"/>
      <w:color w:val="000000" w:themeColor="text1"/>
    </w:rPr>
    <w:tblPr>
      <w:tblBorders>
        <w:top w:val="single" w:color="000000" w:themeColor="text1" w:sz="8" w:space="0"/>
        <w:left w:val="single" w:color="000000" w:themeColor="text1" w:sz="8" w:space="0"/>
        <w:bottom w:val="single" w:color="000000" w:themeColor="text1" w:sz="8" w:space="0"/>
        <w:right w:val="single" w:color="000000" w:themeColor="text1" w:sz="8" w:space="0"/>
      </w:tblBorders>
      <w:tblCellMar>
        <w:top w:w="0" w:type="dxa"/>
        <w:left w:w="108" w:type="dxa"/>
        <w:bottom w:w="0" w:type="dxa"/>
        <w:right w:w="108" w:type="dxa"/>
      </w:tblCellMar>
    </w:tblPr>
    <w:tblStylePr w:type="firstRow">
      <w:rPr>
        <w:sz w:val="24"/>
        <w:szCs w:val="24"/>
      </w:rPr>
      <w:tblPr/>
      <w:tcPr>
        <w:tcBorders>
          <w:top w:val="nil"/>
          <w:left w:val="nil"/>
          <w:bottom w:val="single" w:color="000000" w:themeColor="text1" w:sz="24" w:space="0"/>
          <w:right w:val="nil"/>
          <w:insideH w:val="nil"/>
          <w:insideV w:val="nil"/>
        </w:tcBorders>
        <w:shd w:val="clear" w:color="auto" w:fill="FFFFFF" w:themeFill="background1"/>
      </w:tcPr>
    </w:tblStylePr>
    <w:tblStylePr w:type="lastRow">
      <w:tblPr/>
      <w:tcPr>
        <w:tcBorders>
          <w:top w:val="single" w:color="000000" w:themeColor="tex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000000" w:themeColor="text1" w:sz="8" w:space="0"/>
          <w:insideH w:val="nil"/>
          <w:insideV w:val="nil"/>
        </w:tcBorders>
        <w:shd w:val="clear" w:color="auto" w:fill="FFFFFF" w:themeFill="background1"/>
      </w:tcPr>
    </w:tblStylePr>
    <w:tblStylePr w:type="lastCol">
      <w:tblPr/>
      <w:tcPr>
        <w:tcBorders>
          <w:top w:val="nil"/>
          <w:left w:val="single" w:color="000000" w:themeColor="tex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FBFBF" w:themeFill="text1" w:themeFillTint="3F"/>
      </w:tcPr>
    </w:tblStylePr>
    <w:tblStylePr w:type="band1Horz">
      <w:tblPr/>
      <w:tcPr>
        <w:tcBorders>
          <w:top w:val="nil"/>
          <w:bottom w:val="nil"/>
          <w:insideH w:val="nil"/>
          <w:insideV w:val="nil"/>
        </w:tcBorders>
        <w:shd w:val="clear" w:color="auto" w:fill="BFBFBF"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176">
    <w:name w:val="Medium List 2 Accent 1"/>
    <w:basedOn w:val="88"/>
    <w:qFormat/>
    <w:uiPriority w:val="66"/>
    <w:rPr>
      <w:rFonts w:asciiTheme="minorHAnsi" w:hAnsiTheme="minorHAnsi" w:eastAsiaTheme="minorEastAsia"/>
      <w:color w:val="000000" w:themeColor="text1"/>
    </w:rPr>
    <w:tblPr>
      <w:tblBorders>
        <w:top w:val="single" w:color="4F81BD" w:themeColor="accent1" w:sz="8" w:space="0"/>
        <w:left w:val="single" w:color="4F81BD" w:themeColor="accent1" w:sz="8" w:space="0"/>
        <w:bottom w:val="single" w:color="4F81BD" w:themeColor="accent1" w:sz="8" w:space="0"/>
        <w:right w:val="single" w:color="4F81BD" w:themeColor="accent1" w:sz="8" w:space="0"/>
      </w:tblBorders>
      <w:tblCellMar>
        <w:top w:w="0" w:type="dxa"/>
        <w:left w:w="108" w:type="dxa"/>
        <w:bottom w:w="0" w:type="dxa"/>
        <w:right w:w="108" w:type="dxa"/>
      </w:tblCellMar>
    </w:tblPr>
    <w:tblStylePr w:type="firstRow">
      <w:rPr>
        <w:sz w:val="24"/>
        <w:szCs w:val="24"/>
      </w:rPr>
      <w:tblPr/>
      <w:tcPr>
        <w:tcBorders>
          <w:top w:val="nil"/>
          <w:left w:val="nil"/>
          <w:bottom w:val="single" w:color="4F81BD" w:themeColor="accent1" w:sz="24" w:space="0"/>
          <w:right w:val="nil"/>
          <w:insideH w:val="nil"/>
          <w:insideV w:val="nil"/>
        </w:tcBorders>
        <w:shd w:val="clear" w:color="auto" w:fill="FFFFFF" w:themeFill="background1"/>
      </w:tcPr>
    </w:tblStylePr>
    <w:tblStylePr w:type="lastRow">
      <w:tblPr/>
      <w:tcPr>
        <w:tcBorders>
          <w:top w:val="single" w:color="4F81BD" w:themeColor="accen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F81BD" w:themeColor="accent1" w:sz="8" w:space="0"/>
          <w:insideH w:val="nil"/>
          <w:insideV w:val="nil"/>
        </w:tcBorders>
        <w:shd w:val="clear" w:color="auto" w:fill="FFFFFF" w:themeFill="background1"/>
      </w:tcPr>
    </w:tblStylePr>
    <w:tblStylePr w:type="lastCol">
      <w:tblPr/>
      <w:tcPr>
        <w:tcBorders>
          <w:top w:val="nil"/>
          <w:left w:val="single" w:color="4F81BD" w:themeColor="accen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177">
    <w:name w:val="Medium List 2 Accent 2"/>
    <w:basedOn w:val="88"/>
    <w:qFormat/>
    <w:uiPriority w:val="66"/>
    <w:rPr>
      <w:rFonts w:asciiTheme="minorHAnsi" w:hAnsiTheme="minorHAnsi" w:eastAsiaTheme="minorEastAsia"/>
      <w:color w:val="000000" w:themeColor="text1"/>
    </w:rPr>
    <w:tblPr>
      <w:tblBorders>
        <w:top w:val="single" w:color="C0504D" w:themeColor="accent2" w:sz="8" w:space="0"/>
        <w:left w:val="single" w:color="C0504D" w:themeColor="accent2" w:sz="8" w:space="0"/>
        <w:bottom w:val="single" w:color="C0504D" w:themeColor="accent2" w:sz="8" w:space="0"/>
        <w:right w:val="single" w:color="C0504D" w:themeColor="accent2" w:sz="8" w:space="0"/>
      </w:tblBorders>
      <w:tblCellMar>
        <w:top w:w="0" w:type="dxa"/>
        <w:left w:w="108" w:type="dxa"/>
        <w:bottom w:w="0" w:type="dxa"/>
        <w:right w:w="108" w:type="dxa"/>
      </w:tblCellMar>
    </w:tblPr>
    <w:tblStylePr w:type="firstRow">
      <w:rPr>
        <w:sz w:val="24"/>
        <w:szCs w:val="24"/>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tblPr/>
      <w:tcPr>
        <w:tcBorders>
          <w:top w:val="single" w:color="C0504D" w:themeColor="accent2"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C0504D" w:themeColor="accent2" w:sz="8" w:space="0"/>
          <w:insideH w:val="nil"/>
          <w:insideV w:val="nil"/>
        </w:tcBorders>
        <w:shd w:val="clear" w:color="auto" w:fill="FFFFFF" w:themeFill="background1"/>
      </w:tcPr>
    </w:tblStylePr>
    <w:tblStylePr w:type="lastCol">
      <w:tblPr/>
      <w:tcPr>
        <w:tcBorders>
          <w:top w:val="nil"/>
          <w:left w:val="single" w:color="C0504D" w:themeColor="accent2"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3" w:themeFill="accent2" w:themeFillTint="3F"/>
      </w:tcPr>
    </w:tblStylePr>
    <w:tblStylePr w:type="band1Horz">
      <w:tblPr/>
      <w:tcPr>
        <w:tcBorders>
          <w:top w:val="nil"/>
          <w:bottom w:val="nil"/>
          <w:insideH w:val="nil"/>
          <w:insideV w:val="nil"/>
        </w:tcBorders>
        <w:shd w:val="clear" w:color="auto" w:fill="EFD3D3"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178">
    <w:name w:val="Medium List 2 Accent 3"/>
    <w:basedOn w:val="88"/>
    <w:qFormat/>
    <w:uiPriority w:val="66"/>
    <w:rPr>
      <w:rFonts w:asciiTheme="minorHAnsi" w:hAnsiTheme="minorHAnsi" w:eastAsiaTheme="minorEastAsia"/>
      <w:color w:val="000000" w:themeColor="text1"/>
    </w:rPr>
    <w:tblPr>
      <w:tblBorders>
        <w:top w:val="single" w:color="9BBB59" w:themeColor="accent3" w:sz="8" w:space="0"/>
        <w:left w:val="single" w:color="9BBB59" w:themeColor="accent3" w:sz="8" w:space="0"/>
        <w:bottom w:val="single" w:color="9BBB59" w:themeColor="accent3" w:sz="8" w:space="0"/>
        <w:right w:val="single" w:color="9BBB59" w:themeColor="accent3" w:sz="8" w:space="0"/>
      </w:tblBorders>
      <w:tblCellMar>
        <w:top w:w="0" w:type="dxa"/>
        <w:left w:w="108" w:type="dxa"/>
        <w:bottom w:w="0" w:type="dxa"/>
        <w:right w:w="108" w:type="dxa"/>
      </w:tblCellMar>
    </w:tblPr>
    <w:tblStylePr w:type="firstRow">
      <w:rPr>
        <w:sz w:val="24"/>
        <w:szCs w:val="24"/>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tblPr/>
      <w:tcPr>
        <w:tcBorders>
          <w:top w:val="single" w:color="9BBB59" w:themeColor="accent3"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9BBB59" w:themeColor="accent3" w:sz="8" w:space="0"/>
          <w:insideH w:val="nil"/>
          <w:insideV w:val="nil"/>
        </w:tcBorders>
        <w:shd w:val="clear" w:color="auto" w:fill="FFFFFF" w:themeFill="background1"/>
      </w:tcPr>
    </w:tblStylePr>
    <w:tblStylePr w:type="lastCol">
      <w:tblPr/>
      <w:tcPr>
        <w:tcBorders>
          <w:top w:val="nil"/>
          <w:left w:val="single" w:color="9BBB59" w:themeColor="accent3"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179">
    <w:name w:val="Medium List 2 Accent 4"/>
    <w:basedOn w:val="88"/>
    <w:qFormat/>
    <w:uiPriority w:val="66"/>
    <w:rPr>
      <w:rFonts w:asciiTheme="minorHAnsi" w:hAnsiTheme="minorHAnsi" w:eastAsiaTheme="minorEastAsia"/>
      <w:color w:val="000000" w:themeColor="text1"/>
    </w:rPr>
    <w:tblPr>
      <w:tblBorders>
        <w:top w:val="single" w:color="8064A2" w:themeColor="accent4" w:sz="8" w:space="0"/>
        <w:left w:val="single" w:color="8064A2" w:themeColor="accent4" w:sz="8" w:space="0"/>
        <w:bottom w:val="single" w:color="8064A2" w:themeColor="accent4" w:sz="8" w:space="0"/>
        <w:right w:val="single" w:color="8064A2" w:themeColor="accent4" w:sz="8" w:space="0"/>
      </w:tblBorders>
      <w:tblCellMar>
        <w:top w:w="0" w:type="dxa"/>
        <w:left w:w="108" w:type="dxa"/>
        <w:bottom w:w="0" w:type="dxa"/>
        <w:right w:w="108" w:type="dxa"/>
      </w:tblCellMar>
    </w:tblPr>
    <w:tblStylePr w:type="firstRow">
      <w:rPr>
        <w:sz w:val="24"/>
        <w:szCs w:val="24"/>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tblPr/>
      <w:tcPr>
        <w:tcBorders>
          <w:top w:val="single" w:color="8064A2" w:themeColor="accent4"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8064A2" w:themeColor="accent4" w:sz="8" w:space="0"/>
          <w:insideH w:val="nil"/>
          <w:insideV w:val="nil"/>
        </w:tcBorders>
        <w:shd w:val="clear" w:color="auto" w:fill="FFFFFF" w:themeFill="background1"/>
      </w:tcPr>
    </w:tblStylePr>
    <w:tblStylePr w:type="lastCol">
      <w:tblPr/>
      <w:tcPr>
        <w:tcBorders>
          <w:top w:val="nil"/>
          <w:left w:val="single" w:color="8064A2" w:themeColor="accent4"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180">
    <w:name w:val="Medium List 2 Accent 5"/>
    <w:basedOn w:val="88"/>
    <w:qFormat/>
    <w:uiPriority w:val="66"/>
    <w:rPr>
      <w:rFonts w:asciiTheme="minorHAnsi" w:hAnsiTheme="minorHAnsi" w:eastAsiaTheme="minorEastAsia"/>
      <w:color w:val="000000" w:themeColor="text1"/>
    </w:rPr>
    <w:tblPr>
      <w:tblBorders>
        <w:top w:val="single" w:color="4BACC6" w:themeColor="accent5" w:sz="8" w:space="0"/>
        <w:left w:val="single" w:color="4BACC6" w:themeColor="accent5" w:sz="8" w:space="0"/>
        <w:bottom w:val="single" w:color="4BACC6" w:themeColor="accent5" w:sz="8" w:space="0"/>
        <w:right w:val="single" w:color="4BACC6" w:themeColor="accent5" w:sz="8" w:space="0"/>
      </w:tblBorders>
      <w:tblCellMar>
        <w:top w:w="0" w:type="dxa"/>
        <w:left w:w="108" w:type="dxa"/>
        <w:bottom w:w="0" w:type="dxa"/>
        <w:right w:w="108" w:type="dxa"/>
      </w:tblCellMar>
    </w:tblPr>
    <w:tblStylePr w:type="firstRow">
      <w:rPr>
        <w:sz w:val="24"/>
        <w:szCs w:val="24"/>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tblPr/>
      <w:tcPr>
        <w:tcBorders>
          <w:top w:val="single" w:color="4BACC6" w:themeColor="accent5"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BACC6" w:themeColor="accent5" w:sz="8" w:space="0"/>
          <w:insideH w:val="nil"/>
          <w:insideV w:val="nil"/>
        </w:tcBorders>
        <w:shd w:val="clear" w:color="auto" w:fill="FFFFFF" w:themeFill="background1"/>
      </w:tcPr>
    </w:tblStylePr>
    <w:tblStylePr w:type="lastCol">
      <w:tblPr/>
      <w:tcPr>
        <w:tcBorders>
          <w:top w:val="nil"/>
          <w:left w:val="single" w:color="4BACC6" w:themeColor="accent5"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0" w:themeFill="accent5" w:themeFillTint="3F"/>
      </w:tcPr>
    </w:tblStylePr>
    <w:tblStylePr w:type="band1Horz">
      <w:tblPr/>
      <w:tcPr>
        <w:tcBorders>
          <w:top w:val="nil"/>
          <w:bottom w:val="nil"/>
          <w:insideH w:val="nil"/>
          <w:insideV w:val="nil"/>
        </w:tcBorders>
        <w:shd w:val="clear" w:color="auto" w:fill="D2EAF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181">
    <w:name w:val="Medium List 2 Accent 6"/>
    <w:basedOn w:val="88"/>
    <w:qFormat/>
    <w:uiPriority w:val="66"/>
    <w:rPr>
      <w:rFonts w:asciiTheme="minorHAnsi" w:hAnsiTheme="minorHAnsi" w:eastAsiaTheme="minorEastAsia"/>
      <w:color w:val="000000" w:themeColor="text1"/>
    </w:rPr>
    <w:tblPr>
      <w:tblBorders>
        <w:top w:val="single" w:color="F79646" w:themeColor="accent6" w:sz="8" w:space="0"/>
        <w:left w:val="single" w:color="F79646" w:themeColor="accent6" w:sz="8" w:space="0"/>
        <w:bottom w:val="single" w:color="F79646" w:themeColor="accent6" w:sz="8" w:space="0"/>
        <w:right w:val="single" w:color="F79646" w:themeColor="accent6" w:sz="8" w:space="0"/>
      </w:tblBorders>
      <w:tblCellMar>
        <w:top w:w="0" w:type="dxa"/>
        <w:left w:w="108" w:type="dxa"/>
        <w:bottom w:w="0" w:type="dxa"/>
        <w:right w:w="108" w:type="dxa"/>
      </w:tblCellMar>
    </w:tblPr>
    <w:tblStylePr w:type="firstRow">
      <w:rPr>
        <w:sz w:val="24"/>
        <w:szCs w:val="24"/>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tblPr/>
      <w:tcPr>
        <w:tcBorders>
          <w:top w:val="single" w:color="F79646" w:themeColor="accent6"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F79646" w:themeColor="accent6" w:sz="8" w:space="0"/>
          <w:insideH w:val="nil"/>
          <w:insideV w:val="nil"/>
        </w:tcBorders>
        <w:shd w:val="clear" w:color="auto" w:fill="FFFFFF" w:themeFill="background1"/>
      </w:tcPr>
    </w:tblStylePr>
    <w:tblStylePr w:type="lastCol">
      <w:tblPr/>
      <w:tcPr>
        <w:tcBorders>
          <w:top w:val="nil"/>
          <w:left w:val="single" w:color="F79646" w:themeColor="accent6"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5D1" w:themeFill="accent6" w:themeFillTint="3F"/>
      </w:tcPr>
    </w:tblStylePr>
    <w:tblStylePr w:type="band1Horz">
      <w:tblPr/>
      <w:tcPr>
        <w:tcBorders>
          <w:top w:val="nil"/>
          <w:bottom w:val="nil"/>
          <w:insideH w:val="nil"/>
          <w:insideV w:val="nil"/>
        </w:tcBorders>
        <w:shd w:val="clear" w:color="auto" w:fill="FDE5D1"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82">
    <w:name w:val="Medium Grid 1"/>
    <w:basedOn w:val="88"/>
    <w:qFormat/>
    <w:uiPriority w:val="67"/>
    <w:rPr>
      <w:rFonts w:ascii="Times New Roman" w:hAnsi="Times New Roman"/>
    </w:rPr>
    <w:tblPr>
      <w:tbl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single" w:color="3F3F3F" w:themeColor="text1" w:themeTint="BF" w:sz="8" w:space="0"/>
        <w:insideV w:val="single" w:color="3F3F3F" w:themeColor="text1" w:themeTint="BF" w:sz="8" w:space="0"/>
      </w:tblBorders>
      <w:tblCellMar>
        <w:top w:w="0" w:type="dxa"/>
        <w:left w:w="108" w:type="dxa"/>
        <w:bottom w:w="0" w:type="dxa"/>
        <w:right w:w="108" w:type="dxa"/>
      </w:tblCellMar>
    </w:tblPr>
    <w:tcPr>
      <w:shd w:val="clear" w:color="auto" w:fill="BFBFBF" w:themeFill="text1" w:themeFillTint="3F"/>
    </w:tcPr>
    <w:tblStylePr w:type="firstRow">
      <w:rPr>
        <w:b/>
        <w:bCs/>
      </w:rPr>
    </w:tblStylePr>
    <w:tblStylePr w:type="lastRow">
      <w:rPr>
        <w:b/>
        <w:bCs/>
      </w:rPr>
      <w:tblPr/>
      <w:tcPr>
        <w:tcBorders>
          <w:top w:val="single" w:color="3F3F3F" w:themeColor="text1" w:themeTint="BF" w:sz="18" w:space="0"/>
        </w:tcBorders>
      </w:tcPr>
    </w:tblStylePr>
    <w:tblStylePr w:type="firstCol">
      <w:rPr>
        <w:b/>
        <w:bCs/>
      </w:rPr>
    </w:tblStylePr>
    <w:tblStylePr w:type="lastCol">
      <w:rPr>
        <w:b/>
        <w:bCs/>
      </w:rPr>
    </w:tblStylePr>
    <w:tblStylePr w:type="band1Vert">
      <w:tblPr/>
      <w:tcPr>
        <w:shd w:val="clear" w:color="auto" w:fill="7F7F7F" w:themeFill="text1" w:themeFillTint="7F"/>
      </w:tcPr>
    </w:tblStylePr>
    <w:tblStylePr w:type="band1Horz">
      <w:tblPr/>
      <w:tcPr>
        <w:shd w:val="clear" w:color="auto" w:fill="7F7F7F" w:themeFill="text1" w:themeFillTint="7F"/>
      </w:tcPr>
    </w:tblStylePr>
  </w:style>
  <w:style w:type="table" w:styleId="183">
    <w:name w:val="Medium Grid 1 Accent 1"/>
    <w:basedOn w:val="88"/>
    <w:qFormat/>
    <w:uiPriority w:val="67"/>
    <w:rPr>
      <w:rFonts w:ascii="Times New Roman" w:hAnsi="Times New Roman"/>
    </w:rPr>
    <w:tblPr>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single" w:color="7BA0CD" w:themeColor="accent1" w:themeTint="BF" w:sz="8" w:space="0"/>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color="7BA0CD" w:themeColor="accent1" w:themeTint="BF" w:sz="18" w:space="0"/>
        </w:tcBorders>
      </w:tcPr>
    </w:tblStylePr>
    <w:tblStylePr w:type="firstCol">
      <w:rPr>
        <w:b/>
        <w:bCs/>
      </w:rPr>
    </w:tblStylePr>
    <w:tblStylePr w:type="lastCol">
      <w:rPr>
        <w:b/>
        <w:bCs/>
      </w:rPr>
    </w:tblStylePr>
    <w:tblStylePr w:type="band1Vert">
      <w:tblPr/>
      <w:tcPr>
        <w:shd w:val="clear" w:color="auto" w:fill="A7C0DE" w:themeFill="accent1" w:themeFillTint="7F"/>
      </w:tcPr>
    </w:tblStylePr>
    <w:tblStylePr w:type="band1Horz">
      <w:tblPr/>
      <w:tcPr>
        <w:shd w:val="clear" w:color="auto" w:fill="A7C0DE" w:themeFill="accent1" w:themeFillTint="7F"/>
      </w:tcPr>
    </w:tblStylePr>
  </w:style>
  <w:style w:type="table" w:styleId="184">
    <w:name w:val="Medium Grid 1 Accent 2"/>
    <w:basedOn w:val="88"/>
    <w:qFormat/>
    <w:uiPriority w:val="67"/>
    <w:rPr>
      <w:rFonts w:ascii="Times New Roman" w:hAnsi="Times New Roman"/>
    </w:rPr>
    <w:tblPr>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insideV w:val="single" w:color="CF7B79" w:themeColor="accent2" w:themeTint="BF" w:sz="8" w:space="0"/>
      </w:tblBorders>
      <w:tblCellMar>
        <w:top w:w="0" w:type="dxa"/>
        <w:left w:w="108" w:type="dxa"/>
        <w:bottom w:w="0" w:type="dxa"/>
        <w:right w:w="108" w:type="dxa"/>
      </w:tblCellMar>
    </w:tblPr>
    <w:tcPr>
      <w:shd w:val="clear" w:color="auto" w:fill="EFD3D3" w:themeFill="accent2" w:themeFillTint="3F"/>
    </w:tcPr>
    <w:tblStylePr w:type="firstRow">
      <w:rPr>
        <w:b/>
        <w:bCs/>
      </w:rPr>
    </w:tblStylePr>
    <w:tblStylePr w:type="lastRow">
      <w:rPr>
        <w:b/>
        <w:bCs/>
      </w:rPr>
      <w:tblPr/>
      <w:tcPr>
        <w:tcBorders>
          <w:top w:val="single" w:color="CF7B79" w:themeColor="accent2" w:themeTint="BF" w:sz="18" w:space="0"/>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85">
    <w:name w:val="Medium Grid 1 Accent 3"/>
    <w:basedOn w:val="88"/>
    <w:qFormat/>
    <w:uiPriority w:val="67"/>
    <w:rPr>
      <w:rFonts w:ascii="Times New Roman" w:hAnsi="Times New Roman"/>
    </w:rPr>
    <w:tblPr>
      <w:tblBorders>
        <w:top w:val="single" w:color="B4CC82" w:themeColor="accent3" w:themeTint="BF" w:sz="8" w:space="0"/>
        <w:left w:val="single" w:color="B4CC82" w:themeColor="accent3" w:themeTint="BF" w:sz="8" w:space="0"/>
        <w:bottom w:val="single" w:color="B4CC82" w:themeColor="accent3" w:themeTint="BF" w:sz="8" w:space="0"/>
        <w:right w:val="single" w:color="B4CC82" w:themeColor="accent3" w:themeTint="BF" w:sz="8" w:space="0"/>
        <w:insideH w:val="single" w:color="B4CC82" w:themeColor="accent3" w:themeTint="BF" w:sz="8" w:space="0"/>
        <w:insideV w:val="single" w:color="B4CC82" w:themeColor="accent3" w:themeTint="BF" w:sz="8" w:space="0"/>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color="B4CC82" w:themeColor="accent3" w:themeTint="BF" w:sz="18" w:space="0"/>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86">
    <w:name w:val="Medium Grid 1 Accent 4"/>
    <w:basedOn w:val="88"/>
    <w:qFormat/>
    <w:uiPriority w:val="67"/>
    <w:rPr>
      <w:rFonts w:ascii="Times New Roman" w:hAnsi="Times New Roman"/>
    </w:rPr>
    <w:tblPr>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insideV w:val="single" w:color="9F8AB9" w:themeColor="accent4" w:themeTint="BF" w:sz="8" w:space="0"/>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color="9F8AB9" w:themeColor="accent4" w:themeTint="BF" w:sz="18" w:space="0"/>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87">
    <w:name w:val="Medium Grid 1 Accent 5"/>
    <w:basedOn w:val="88"/>
    <w:qFormat/>
    <w:uiPriority w:val="67"/>
    <w:rPr>
      <w:rFonts w:ascii="Times New Roman" w:hAnsi="Times New Roman"/>
    </w:rPr>
    <w:tblPr>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insideV w:val="single" w:color="78C0D4" w:themeColor="accent5" w:themeTint="BF" w:sz="8" w:space="0"/>
      </w:tblBorders>
      <w:tblCellMar>
        <w:top w:w="0" w:type="dxa"/>
        <w:left w:w="108" w:type="dxa"/>
        <w:bottom w:w="0" w:type="dxa"/>
        <w:right w:w="108" w:type="dxa"/>
      </w:tblCellMar>
    </w:tblPr>
    <w:tcPr>
      <w:shd w:val="clear" w:color="auto" w:fill="D2EAF0" w:themeFill="accent5" w:themeFillTint="3F"/>
    </w:tcPr>
    <w:tblStylePr w:type="firstRow">
      <w:rPr>
        <w:b/>
        <w:bCs/>
      </w:rPr>
    </w:tblStylePr>
    <w:tblStylePr w:type="lastRow">
      <w:rPr>
        <w:b/>
        <w:bCs/>
      </w:rPr>
      <w:tblPr/>
      <w:tcPr>
        <w:tcBorders>
          <w:top w:val="single" w:color="78C0D4" w:themeColor="accent5" w:themeTint="BF" w:sz="18" w:space="0"/>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88">
    <w:name w:val="Medium Grid 1 Accent 6"/>
    <w:basedOn w:val="88"/>
    <w:qFormat/>
    <w:uiPriority w:val="67"/>
    <w:rPr>
      <w:rFonts w:ascii="Times New Roman" w:hAnsi="Times New Roman"/>
    </w:rPr>
    <w:tblPr>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insideV w:val="single" w:color="F9B074" w:themeColor="accent6" w:themeTint="BF" w:sz="8" w:space="0"/>
      </w:tblBorders>
      <w:tblCellMar>
        <w:top w:w="0" w:type="dxa"/>
        <w:left w:w="108" w:type="dxa"/>
        <w:bottom w:w="0" w:type="dxa"/>
        <w:right w:w="108" w:type="dxa"/>
      </w:tblCellMar>
    </w:tblPr>
    <w:tcPr>
      <w:shd w:val="clear" w:color="auto" w:fill="FDE5D1" w:themeFill="accent6" w:themeFillTint="3F"/>
    </w:tcPr>
    <w:tblStylePr w:type="firstRow">
      <w:rPr>
        <w:b/>
        <w:bCs/>
      </w:rPr>
    </w:tblStylePr>
    <w:tblStylePr w:type="lastRow">
      <w:rPr>
        <w:b/>
        <w:bCs/>
      </w:rPr>
      <w:tblPr/>
      <w:tcPr>
        <w:tcBorders>
          <w:top w:val="single" w:color="F9B074" w:themeColor="accent6" w:themeTint="BF" w:sz="18" w:space="0"/>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189">
    <w:name w:val="Medium Grid 2"/>
    <w:basedOn w:val="88"/>
    <w:autoRedefine/>
    <w:qFormat/>
    <w:uiPriority w:val="68"/>
    <w:rPr>
      <w:rFonts w:asciiTheme="minorHAnsi" w:hAnsiTheme="minorHAnsi" w:eastAsiaTheme="minorEastAsia"/>
      <w:color w:val="000000" w:themeColor="text1"/>
    </w:rPr>
    <w:tblP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
    <w:tcPr>
      <w:shd w:val="clear" w:color="auto" w:fill="BFBFBF" w:themeFill="text1" w:themeFillTint="3F"/>
    </w:tcPr>
    <w:tblStylePr w:type="firstRow">
      <w:rPr>
        <w:b/>
        <w:bCs/>
        <w:color w:val="000000" w:themeColor="text1"/>
      </w:rPr>
      <w:tblPr/>
      <w:tcPr>
        <w:shd w:val="clear" w:color="auto" w:fill="E5E5E5" w:themeFill="tex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7F7F7F" w:themeFill="text1" w:themeFillTint="7F"/>
      </w:tcPr>
    </w:tblStylePr>
    <w:tblStylePr w:type="band1Horz">
      <w:tblPr/>
      <w:tcPr>
        <w:tcBorders>
          <w:insideH w:val="single" w:sz="6" w:space="0"/>
          <w:insideV w:val="single" w:sz="6" w:space="0"/>
        </w:tcBorders>
        <w:shd w:val="clear" w:color="auto" w:fill="7F7F7F" w:themeFill="text1" w:themeFillTint="7F"/>
      </w:tcPr>
    </w:tblStylePr>
    <w:tblStylePr w:type="nwCell">
      <w:tblPr/>
      <w:tcPr>
        <w:shd w:val="clear" w:color="auto" w:fill="FFFFFF" w:themeFill="background1"/>
      </w:tcPr>
    </w:tblStylePr>
  </w:style>
  <w:style w:type="table" w:styleId="190">
    <w:name w:val="Medium Grid 2 Accent 1"/>
    <w:basedOn w:val="88"/>
    <w:qFormat/>
    <w:uiPriority w:val="68"/>
    <w:rPr>
      <w:rFonts w:asciiTheme="minorHAnsi" w:hAnsiTheme="minorHAnsi" w:eastAsiaTheme="minorEastAsia"/>
      <w:color w:val="000000" w:themeColor="text1"/>
    </w:rPr>
    <w:tblPr>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C0DE" w:themeFill="accent1" w:themeFillTint="7F"/>
      </w:tcPr>
    </w:tblStylePr>
    <w:tblStylePr w:type="band1Horz">
      <w:tblPr/>
      <w:tcPr>
        <w:tcBorders>
          <w:insideH w:val="single" w:sz="6" w:space="0"/>
          <w:insideV w:val="single" w:sz="6" w:space="0"/>
        </w:tcBorders>
        <w:shd w:val="clear" w:color="auto" w:fill="A7C0DE" w:themeFill="accent1" w:themeFillTint="7F"/>
      </w:tcPr>
    </w:tblStylePr>
    <w:tblStylePr w:type="nwCell">
      <w:tblPr/>
      <w:tcPr>
        <w:shd w:val="clear" w:color="auto" w:fill="FFFFFF" w:themeFill="background1"/>
      </w:tcPr>
    </w:tblStylePr>
  </w:style>
  <w:style w:type="table" w:styleId="191">
    <w:name w:val="Medium Grid 2 Accent 2"/>
    <w:basedOn w:val="88"/>
    <w:qFormat/>
    <w:uiPriority w:val="68"/>
    <w:rPr>
      <w:rFonts w:asciiTheme="minorHAnsi" w:hAnsiTheme="minorHAnsi" w:eastAsiaTheme="minorEastAsia"/>
      <w:color w:val="000000" w:themeColor="text1"/>
    </w:rPr>
    <w:tblPr>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CellMar>
        <w:top w:w="0" w:type="dxa"/>
        <w:left w:w="108" w:type="dxa"/>
        <w:bottom w:w="0" w:type="dxa"/>
        <w:right w:w="108" w:type="dxa"/>
      </w:tblCellMar>
    </w:tblPr>
    <w:tcPr>
      <w:shd w:val="clear" w:color="auto" w:fill="EFD3D3"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insideV w:val="single" w:sz="6" w:space="0"/>
        </w:tcBorders>
        <w:shd w:val="clear" w:color="auto" w:fill="DFA7A6" w:themeFill="accent2" w:themeFillTint="7F"/>
      </w:tcPr>
    </w:tblStylePr>
    <w:tblStylePr w:type="nwCell">
      <w:tblPr/>
      <w:tcPr>
        <w:shd w:val="clear" w:color="auto" w:fill="FFFFFF" w:themeFill="background1"/>
      </w:tcPr>
    </w:tblStylePr>
  </w:style>
  <w:style w:type="table" w:styleId="192">
    <w:name w:val="Medium Grid 2 Accent 3"/>
    <w:basedOn w:val="88"/>
    <w:qFormat/>
    <w:uiPriority w:val="68"/>
    <w:rPr>
      <w:rFonts w:asciiTheme="minorHAnsi" w:hAnsiTheme="minorHAnsi" w:eastAsiaTheme="minorEastAsia"/>
      <w:color w:val="000000" w:themeColor="text1"/>
    </w:rPr>
    <w:tblPr>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insideV w:val="single" w:sz="6" w:space="0"/>
        </w:tcBorders>
        <w:shd w:val="clear" w:color="auto" w:fill="CDDDAC" w:themeFill="accent3" w:themeFillTint="7F"/>
      </w:tcPr>
    </w:tblStylePr>
    <w:tblStylePr w:type="nwCell">
      <w:tblPr/>
      <w:tcPr>
        <w:shd w:val="clear" w:color="auto" w:fill="FFFFFF" w:themeFill="background1"/>
      </w:tcPr>
    </w:tblStylePr>
  </w:style>
  <w:style w:type="table" w:styleId="193">
    <w:name w:val="Medium Grid 2 Accent 4"/>
    <w:basedOn w:val="88"/>
    <w:qFormat/>
    <w:uiPriority w:val="68"/>
    <w:rPr>
      <w:rFonts w:asciiTheme="minorHAnsi" w:hAnsiTheme="minorHAnsi" w:eastAsiaTheme="minorEastAsia"/>
      <w:color w:val="000000" w:themeColor="text1"/>
    </w:rPr>
    <w:tblPr>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5" w:themeFill="accent4"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insideV w:val="single" w:sz="6" w:space="0"/>
        </w:tcBorders>
        <w:shd w:val="clear" w:color="auto" w:fill="BFB1D0" w:themeFill="accent4" w:themeFillTint="7F"/>
      </w:tcPr>
    </w:tblStylePr>
    <w:tblStylePr w:type="nwCell">
      <w:tblPr/>
      <w:tcPr>
        <w:shd w:val="clear" w:color="auto" w:fill="FFFFFF" w:themeFill="background1"/>
      </w:tcPr>
    </w:tblStylePr>
  </w:style>
  <w:style w:type="table" w:styleId="194">
    <w:name w:val="Medium Grid 2 Accent 5"/>
    <w:basedOn w:val="88"/>
    <w:qFormat/>
    <w:uiPriority w:val="68"/>
    <w:rPr>
      <w:rFonts w:asciiTheme="minorHAnsi" w:hAnsiTheme="minorHAnsi" w:eastAsiaTheme="minorEastAsia"/>
      <w:color w:val="000000" w:themeColor="text1"/>
    </w:rPr>
    <w:tblPr>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CellMar>
        <w:top w:w="0" w:type="dxa"/>
        <w:left w:w="108" w:type="dxa"/>
        <w:bottom w:w="0" w:type="dxa"/>
        <w:right w:w="108" w:type="dxa"/>
      </w:tblCellMar>
    </w:tblPr>
    <w:tcPr>
      <w:shd w:val="clear" w:color="auto" w:fill="D2EAF0"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insideV w:val="single" w:sz="6" w:space="0"/>
        </w:tcBorders>
        <w:shd w:val="clear" w:color="auto" w:fill="A5D5E2" w:themeFill="accent5" w:themeFillTint="7F"/>
      </w:tcPr>
    </w:tblStylePr>
    <w:tblStylePr w:type="nwCell">
      <w:tblPr/>
      <w:tcPr>
        <w:shd w:val="clear" w:color="auto" w:fill="FFFFFF" w:themeFill="background1"/>
      </w:tcPr>
    </w:tblStylePr>
  </w:style>
  <w:style w:type="table" w:styleId="195">
    <w:name w:val="Medium Grid 2 Accent 6"/>
    <w:basedOn w:val="88"/>
    <w:qFormat/>
    <w:uiPriority w:val="68"/>
    <w:rPr>
      <w:rFonts w:asciiTheme="minorHAnsi" w:hAnsiTheme="minorHAnsi" w:eastAsiaTheme="minorEastAsia"/>
      <w:color w:val="000000" w:themeColor="text1"/>
    </w:rPr>
    <w:tblPr>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CellMar>
        <w:top w:w="0" w:type="dxa"/>
        <w:left w:w="108" w:type="dxa"/>
        <w:bottom w:w="0" w:type="dxa"/>
        <w:right w:w="108" w:type="dxa"/>
      </w:tblCellMar>
    </w:tblPr>
    <w:tcPr>
      <w:shd w:val="clear" w:color="auto" w:fill="FDE5D1"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insideV w:val="single" w:sz="6" w:space="0"/>
        </w:tcBorders>
        <w:shd w:val="clear" w:color="auto" w:fill="FBCAA2" w:themeFill="accent6" w:themeFillTint="7F"/>
      </w:tcPr>
    </w:tblStylePr>
    <w:tblStylePr w:type="nwCell">
      <w:tblPr/>
      <w:tcPr>
        <w:shd w:val="clear" w:color="auto" w:fill="FFFFFF" w:themeFill="background1"/>
      </w:tcPr>
    </w:tblStylePr>
  </w:style>
  <w:style w:type="table" w:styleId="196">
    <w:name w:val="Medium Grid 3"/>
    <w:basedOn w:val="88"/>
    <w:qFormat/>
    <w:uiPriority w:val="69"/>
    <w:rPr>
      <w:rFonts w:ascii="Times New Roman" w:hAnsi="Times New Roman"/>
    </w:r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BFBFBF" w:themeFill="tex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000000" w:themeFill="tex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000000" w:themeFill="tex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000000" w:themeFill="tex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7F7F7F" w:themeFill="tex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7F7F7F" w:themeFill="text1" w:themeFillTint="7F"/>
      </w:tcPr>
    </w:tblStylePr>
  </w:style>
  <w:style w:type="table" w:styleId="197">
    <w:name w:val="Medium Grid 3 Accent 1"/>
    <w:basedOn w:val="88"/>
    <w:qFormat/>
    <w:uiPriority w:val="69"/>
    <w:rPr>
      <w:rFonts w:ascii="Times New Roman" w:hAnsi="Times New Roman"/>
    </w:r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4F81BD" w:themeFill="accen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4F81BD" w:themeFill="accen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F81BD"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C0DE"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A7C0DE" w:themeFill="accent1" w:themeFillTint="7F"/>
      </w:tcPr>
    </w:tblStylePr>
  </w:style>
  <w:style w:type="table" w:styleId="198">
    <w:name w:val="Medium Grid 3 Accent 2"/>
    <w:basedOn w:val="88"/>
    <w:qFormat/>
    <w:uiPriority w:val="69"/>
    <w:rPr>
      <w:rFonts w:ascii="Times New Roman" w:hAnsi="Times New Roman"/>
    </w:r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EFD3D3" w:themeFill="accent2"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C0504D" w:themeFill="accent2"/>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C0504D" w:themeFill="accent2"/>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C0504D" w:themeFill="accent2"/>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C0504D" w:themeFill="accent2"/>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DFA7A6" w:themeFill="accent2"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DFA7A6" w:themeFill="accent2" w:themeFillTint="7F"/>
      </w:tcPr>
    </w:tblStylePr>
  </w:style>
  <w:style w:type="table" w:styleId="199">
    <w:name w:val="Medium Grid 3 Accent 3"/>
    <w:basedOn w:val="88"/>
    <w:qFormat/>
    <w:uiPriority w:val="69"/>
    <w:rPr>
      <w:rFonts w:ascii="Times New Roman" w:hAnsi="Times New Roman"/>
    </w:r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9BBB59" w:themeFill="accent3"/>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9BBB59" w:themeFill="accent3"/>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9BBB59" w:themeFill="accent3"/>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9BBB59" w:themeFill="accent3"/>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DDDAC" w:themeFill="accent3"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CDDDAC" w:themeFill="accent3" w:themeFillTint="7F"/>
      </w:tcPr>
    </w:tblStylePr>
  </w:style>
  <w:style w:type="table" w:styleId="200">
    <w:name w:val="Medium Grid 3 Accent 4"/>
    <w:basedOn w:val="88"/>
    <w:qFormat/>
    <w:uiPriority w:val="69"/>
    <w:rPr>
      <w:rFonts w:ascii="Times New Roman" w:hAnsi="Times New Roman"/>
    </w:r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8064A2" w:themeFill="accent4"/>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8064A2" w:themeFill="accent4"/>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8064A2" w:themeFill="accent4"/>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8064A2" w:themeFill="accent4"/>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FB1D0" w:themeFill="accent4"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BFB1D0" w:themeFill="accent4" w:themeFillTint="7F"/>
      </w:tcPr>
    </w:tblStylePr>
  </w:style>
  <w:style w:type="table" w:styleId="201">
    <w:name w:val="Medium Grid 3 Accent 5"/>
    <w:basedOn w:val="88"/>
    <w:qFormat/>
    <w:uiPriority w:val="69"/>
    <w:rPr>
      <w:rFonts w:ascii="Times New Roman" w:hAnsi="Times New Roman"/>
    </w:r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2EAF0" w:themeFill="accent5"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4BACC6" w:themeFill="accent5"/>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4BACC6" w:themeFill="accent5"/>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BACC6" w:themeFill="accent5"/>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BACC6" w:themeFill="accent5"/>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5D5E2" w:themeFill="accent5"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A5D5E2" w:themeFill="accent5" w:themeFillTint="7F"/>
      </w:tcPr>
    </w:tblStylePr>
  </w:style>
  <w:style w:type="table" w:styleId="202">
    <w:name w:val="Medium Grid 3 Accent 6"/>
    <w:basedOn w:val="88"/>
    <w:qFormat/>
    <w:uiPriority w:val="69"/>
    <w:rPr>
      <w:rFonts w:ascii="Times New Roman" w:hAnsi="Times New Roman"/>
    </w:r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FDE5D1" w:themeFill="accent6"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F79646" w:themeFill="accent6"/>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F79646" w:themeFill="accent6"/>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F79646"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FBCAA2" w:themeFill="accent6" w:themeFillTint="7F"/>
      </w:tcPr>
    </w:tblStylePr>
  </w:style>
  <w:style w:type="table" w:styleId="203">
    <w:name w:val="Dark List"/>
    <w:basedOn w:val="88"/>
    <w:qFormat/>
    <w:uiPriority w:val="70"/>
    <w:rPr>
      <w:rFonts w:ascii="Times New Roman" w:hAnsi="Times New Roman"/>
      <w:color w:val="FFFFFF" w:themeColor="background1"/>
    </w:rPr>
    <w:tblPr>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lastCol">
      <w:tblPr/>
      <w:tcPr>
        <w:tcBorders>
          <w:top w:val="nil"/>
          <w:left w:val="single" w:color="FFFFFF" w:themeColor="background1" w:sz="18" w:space="0"/>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204">
    <w:name w:val="Dark List Accent 1"/>
    <w:basedOn w:val="88"/>
    <w:qFormat/>
    <w:uiPriority w:val="70"/>
    <w:rPr>
      <w:rFonts w:ascii="Times New Roman" w:hAnsi="Times New Roman"/>
      <w:color w:val="FFFFFF" w:themeColor="background1"/>
    </w:rPr>
    <w:tblPr>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43F61" w:themeFill="accent1" w:themeFillShade="7F"/>
      </w:tcPr>
    </w:tblStylePr>
    <w:tblStylePr w:type="firstCol">
      <w:tblPr/>
      <w:tcPr>
        <w:tcBorders>
          <w:top w:val="nil"/>
          <w:left w:val="nil"/>
          <w:bottom w:val="nil"/>
          <w:right w:val="single" w:color="FFFFFF" w:themeColor="background1" w:sz="18" w:space="0"/>
          <w:insideH w:val="nil"/>
          <w:insideV w:val="nil"/>
        </w:tcBorders>
        <w:shd w:val="clear" w:color="auto" w:fill="366091" w:themeFill="accent1" w:themeFillShade="BF"/>
      </w:tcPr>
    </w:tblStylePr>
    <w:tblStylePr w:type="lastCol">
      <w:tblPr/>
      <w:tcPr>
        <w:tcBorders>
          <w:top w:val="nil"/>
          <w:left w:val="single" w:color="FFFFFF" w:themeColor="background1" w:sz="18" w:space="0"/>
          <w:bottom w:val="nil"/>
          <w:right w:val="nil"/>
          <w:insideH w:val="nil"/>
          <w:insideV w:val="nil"/>
        </w:tcBorders>
        <w:shd w:val="clear" w:color="auto" w:fill="366091" w:themeFill="accent1" w:themeFillShade="BF"/>
      </w:tcPr>
    </w:tblStylePr>
    <w:tblStylePr w:type="band1Vert">
      <w:tblPr/>
      <w:tcPr>
        <w:tcBorders>
          <w:top w:val="nil"/>
          <w:left w:val="nil"/>
          <w:bottom w:val="nil"/>
          <w:right w:val="nil"/>
          <w:insideH w:val="nil"/>
          <w:insideV w:val="nil"/>
        </w:tcBorders>
        <w:shd w:val="clear" w:color="auto" w:fill="366091" w:themeFill="accent1" w:themeFillShade="BF"/>
      </w:tcPr>
    </w:tblStylePr>
    <w:tblStylePr w:type="band1Horz">
      <w:tblPr/>
      <w:tcPr>
        <w:tcBorders>
          <w:top w:val="nil"/>
          <w:left w:val="nil"/>
          <w:bottom w:val="nil"/>
          <w:right w:val="nil"/>
          <w:insideH w:val="nil"/>
          <w:insideV w:val="nil"/>
        </w:tcBorders>
        <w:shd w:val="clear" w:color="auto" w:fill="366091" w:themeFill="accent1" w:themeFillShade="BF"/>
      </w:tcPr>
    </w:tblStylePr>
  </w:style>
  <w:style w:type="table" w:styleId="205">
    <w:name w:val="Dark List Accent 2"/>
    <w:basedOn w:val="88"/>
    <w:qFormat/>
    <w:uiPriority w:val="70"/>
    <w:rPr>
      <w:rFonts w:ascii="Times New Roman" w:hAnsi="Times New Roman"/>
      <w:color w:val="FFFFFF" w:themeColor="background1"/>
    </w:rPr>
    <w:tblPr>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color="FFFFFF" w:themeColor="background1" w:sz="18" w:space="0"/>
          <w:insideH w:val="nil"/>
          <w:insideV w:val="nil"/>
        </w:tcBorders>
        <w:shd w:val="clear" w:color="auto" w:fill="943734" w:themeFill="accent2" w:themeFillShade="BF"/>
      </w:tcPr>
    </w:tblStylePr>
    <w:tblStylePr w:type="lastCol">
      <w:tblPr/>
      <w:tcPr>
        <w:tcBorders>
          <w:top w:val="nil"/>
          <w:left w:val="single" w:color="FFFFFF" w:themeColor="background1" w:sz="18" w:space="0"/>
          <w:bottom w:val="nil"/>
          <w:right w:val="nil"/>
          <w:insideH w:val="nil"/>
          <w:insideV w:val="nil"/>
        </w:tcBorders>
        <w:shd w:val="clear" w:color="auto" w:fill="943734" w:themeFill="accent2" w:themeFillShade="BF"/>
      </w:tcPr>
    </w:tblStylePr>
    <w:tblStylePr w:type="band1Vert">
      <w:tblPr/>
      <w:tcPr>
        <w:tcBorders>
          <w:top w:val="nil"/>
          <w:left w:val="nil"/>
          <w:bottom w:val="nil"/>
          <w:right w:val="nil"/>
          <w:insideH w:val="nil"/>
          <w:insideV w:val="nil"/>
        </w:tcBorders>
        <w:shd w:val="clear" w:color="auto" w:fill="943734" w:themeFill="accent2" w:themeFillShade="BF"/>
      </w:tcPr>
    </w:tblStylePr>
    <w:tblStylePr w:type="band1Horz">
      <w:tblPr/>
      <w:tcPr>
        <w:tcBorders>
          <w:top w:val="nil"/>
          <w:left w:val="nil"/>
          <w:bottom w:val="nil"/>
          <w:right w:val="nil"/>
          <w:insideH w:val="nil"/>
          <w:insideV w:val="nil"/>
        </w:tcBorders>
        <w:shd w:val="clear" w:color="auto" w:fill="943734" w:themeFill="accent2" w:themeFillShade="BF"/>
      </w:tcPr>
    </w:tblStylePr>
  </w:style>
  <w:style w:type="table" w:styleId="206">
    <w:name w:val="Dark List Accent 3"/>
    <w:basedOn w:val="88"/>
    <w:qFormat/>
    <w:uiPriority w:val="70"/>
    <w:rPr>
      <w:rFonts w:ascii="Times New Roman" w:hAnsi="Times New Roman"/>
      <w:color w:val="FFFFFF" w:themeColor="background1"/>
    </w:rPr>
    <w:tblPr>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4E6127" w:themeFill="accent3" w:themeFillShade="7F"/>
      </w:tcPr>
    </w:tblStylePr>
    <w:tblStylePr w:type="firstCol">
      <w:tblPr/>
      <w:tcPr>
        <w:tcBorders>
          <w:top w:val="nil"/>
          <w:left w:val="nil"/>
          <w:bottom w:val="nil"/>
          <w:right w:val="single" w:color="FFFFFF" w:themeColor="background1" w:sz="18" w:space="0"/>
          <w:insideH w:val="nil"/>
          <w:insideV w:val="nil"/>
        </w:tcBorders>
        <w:shd w:val="clear" w:color="auto" w:fill="76923C" w:themeFill="accent3" w:themeFillShade="BF"/>
      </w:tcPr>
    </w:tblStylePr>
    <w:tblStylePr w:type="lastCol">
      <w:tblPr/>
      <w:tcPr>
        <w:tcBorders>
          <w:top w:val="nil"/>
          <w:left w:val="single" w:color="FFFFFF" w:themeColor="background1" w:sz="18" w:space="0"/>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207">
    <w:name w:val="Dark List Accent 4"/>
    <w:basedOn w:val="88"/>
    <w:qFormat/>
    <w:uiPriority w:val="70"/>
    <w:rPr>
      <w:rFonts w:ascii="Times New Roman" w:hAnsi="Times New Roman"/>
      <w:color w:val="FFFFFF" w:themeColor="background1"/>
    </w:rPr>
    <w:tblPr>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3F3051" w:themeFill="accent4" w:themeFillShade="7F"/>
      </w:tcPr>
    </w:tblStylePr>
    <w:tblStylePr w:type="firstCol">
      <w:tblPr/>
      <w:tcPr>
        <w:tcBorders>
          <w:top w:val="nil"/>
          <w:left w:val="nil"/>
          <w:bottom w:val="nil"/>
          <w:right w:val="single" w:color="FFFFFF" w:themeColor="background1" w:sz="18" w:space="0"/>
          <w:insideH w:val="nil"/>
          <w:insideV w:val="nil"/>
        </w:tcBorders>
        <w:shd w:val="clear" w:color="auto" w:fill="5F497A" w:themeFill="accent4" w:themeFillShade="BF"/>
      </w:tcPr>
    </w:tblStylePr>
    <w:tblStylePr w:type="lastCol">
      <w:tblPr/>
      <w:tcPr>
        <w:tcBorders>
          <w:top w:val="nil"/>
          <w:left w:val="single" w:color="FFFFFF" w:themeColor="background1" w:sz="18" w:space="0"/>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208">
    <w:name w:val="Dark List Accent 5"/>
    <w:basedOn w:val="88"/>
    <w:qFormat/>
    <w:uiPriority w:val="70"/>
    <w:rPr>
      <w:rFonts w:ascii="Times New Roman" w:hAnsi="Times New Roman"/>
      <w:color w:val="FFFFFF" w:themeColor="background1"/>
    </w:rPr>
    <w:tblPr>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color="FFFFFF" w:themeColor="background1" w:sz="18" w:space="0"/>
          <w:insideH w:val="nil"/>
          <w:insideV w:val="nil"/>
        </w:tcBorders>
        <w:shd w:val="clear" w:color="auto" w:fill="31849B" w:themeFill="accent5" w:themeFillShade="BF"/>
      </w:tcPr>
    </w:tblStylePr>
    <w:tblStylePr w:type="lastCol">
      <w:tblPr/>
      <w:tcPr>
        <w:tcBorders>
          <w:top w:val="nil"/>
          <w:left w:val="single" w:color="FFFFFF" w:themeColor="background1" w:sz="18" w:space="0"/>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9">
    <w:name w:val="Dark List Accent 6"/>
    <w:basedOn w:val="88"/>
    <w:qFormat/>
    <w:uiPriority w:val="70"/>
    <w:rPr>
      <w:rFonts w:ascii="Times New Roman" w:hAnsi="Times New Roman"/>
      <w:color w:val="FFFFFF" w:themeColor="background1"/>
    </w:rPr>
    <w:tblPr>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color="FFFFFF" w:themeColor="background1" w:sz="18" w:space="0"/>
          <w:insideH w:val="nil"/>
          <w:insideV w:val="nil"/>
        </w:tcBorders>
        <w:shd w:val="clear" w:color="auto" w:fill="E36C09" w:themeFill="accent6" w:themeFillShade="BF"/>
      </w:tcPr>
    </w:tblStylePr>
    <w:tblStylePr w:type="lastCol">
      <w:tblPr/>
      <w:tcPr>
        <w:tcBorders>
          <w:top w:val="nil"/>
          <w:left w:val="single" w:color="FFFFFF" w:themeColor="background1" w:sz="18" w:space="0"/>
          <w:bottom w:val="nil"/>
          <w:right w:val="nil"/>
          <w:insideH w:val="nil"/>
          <w:insideV w:val="nil"/>
        </w:tcBorders>
        <w:shd w:val="clear" w:color="auto" w:fill="E36C09" w:themeFill="accent6" w:themeFillShade="BF"/>
      </w:tcPr>
    </w:tblStylePr>
    <w:tblStylePr w:type="band1Vert">
      <w:tblPr/>
      <w:tcPr>
        <w:tcBorders>
          <w:top w:val="nil"/>
          <w:left w:val="nil"/>
          <w:bottom w:val="nil"/>
          <w:right w:val="nil"/>
          <w:insideH w:val="nil"/>
          <w:insideV w:val="nil"/>
        </w:tcBorders>
        <w:shd w:val="clear" w:color="auto" w:fill="E36C09" w:themeFill="accent6" w:themeFillShade="BF"/>
      </w:tcPr>
    </w:tblStylePr>
    <w:tblStylePr w:type="band1Horz">
      <w:tblPr/>
      <w:tcPr>
        <w:tcBorders>
          <w:top w:val="nil"/>
          <w:left w:val="nil"/>
          <w:bottom w:val="nil"/>
          <w:right w:val="nil"/>
          <w:insideH w:val="nil"/>
          <w:insideV w:val="nil"/>
        </w:tcBorders>
        <w:shd w:val="clear" w:color="auto" w:fill="E36C09" w:themeFill="accent6" w:themeFillShade="BF"/>
      </w:tcPr>
    </w:tblStylePr>
  </w:style>
  <w:style w:type="table" w:styleId="210">
    <w:name w:val="Colorful Shading"/>
    <w:basedOn w:val="88"/>
    <w:qFormat/>
    <w:uiPriority w:val="71"/>
    <w:rPr>
      <w:rFonts w:ascii="Times New Roman" w:hAnsi="Times New Roman"/>
      <w:color w:val="000000" w:themeColor="text1"/>
    </w:rPr>
    <w:tblPr>
      <w:tblBorders>
        <w:top w:val="single" w:color="C0504D"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5E5E5" w:themeFill="tex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7F7F7F" w:themeFill="text1" w:themeFillTint="7F"/>
      </w:tcPr>
    </w:tblStylePr>
    <w:tblStylePr w:type="neCell">
      <w:rPr>
        <w:color w:val="000000" w:themeColor="text1"/>
      </w:rPr>
    </w:tblStylePr>
    <w:tblStylePr w:type="nwCell">
      <w:rPr>
        <w:color w:val="000000" w:themeColor="text1"/>
      </w:rPr>
    </w:tblStylePr>
  </w:style>
  <w:style w:type="table" w:styleId="211">
    <w:name w:val="Colorful Shading Accent 1"/>
    <w:basedOn w:val="88"/>
    <w:qFormat/>
    <w:uiPriority w:val="71"/>
    <w:rPr>
      <w:rFonts w:ascii="Times New Roman" w:hAnsi="Times New Roman"/>
      <w:color w:val="000000" w:themeColor="text1"/>
    </w:rPr>
    <w:tblPr>
      <w:tblBorders>
        <w:top w:val="single" w:color="C0504D" w:themeColor="accent2" w:sz="24" w:space="0"/>
        <w:left w:val="single" w:color="4F81BD" w:themeColor="accent1" w:sz="4" w:space="0"/>
        <w:bottom w:val="single" w:color="4F81BD" w:themeColor="accent1" w:sz="4" w:space="0"/>
        <w:right w:val="single" w:color="4F81BD" w:themeColor="accent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B4D74" w:themeFill="accent1" w:themeFillShade="99"/>
      </w:tcPr>
    </w:tblStylePr>
    <w:tblStylePr w:type="firstCol">
      <w:rPr>
        <w:color w:val="FFFFFF" w:themeColor="background1"/>
      </w:rPr>
      <w:tblPr/>
      <w:tcPr>
        <w:tcBorders>
          <w:top w:val="nil"/>
          <w:left w:val="nil"/>
          <w:bottom w:val="nil"/>
          <w:right w:val="nil"/>
          <w:insideH w:val="single" w:sz="4" w:space="0"/>
          <w:insideV w:val="nil"/>
        </w:tcBorders>
        <w:shd w:val="clear" w:color="auto" w:fill="2B4D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B4D74" w:themeFill="accent1" w:themeFillShade="99"/>
      </w:tcPr>
    </w:tblStylePr>
    <w:tblStylePr w:type="band1Vert">
      <w:tblPr/>
      <w:tcPr>
        <w:shd w:val="clear" w:color="auto" w:fill="B8CCE4" w:themeFill="accent1" w:themeFillTint="66"/>
      </w:tcPr>
    </w:tblStylePr>
    <w:tblStylePr w:type="band1Horz">
      <w:tblPr/>
      <w:tcPr>
        <w:shd w:val="clear" w:color="auto" w:fill="A7C0DE" w:themeFill="accent1" w:themeFillTint="7F"/>
      </w:tcPr>
    </w:tblStylePr>
    <w:tblStylePr w:type="neCell">
      <w:rPr>
        <w:color w:val="000000" w:themeColor="text1"/>
      </w:rPr>
    </w:tblStylePr>
    <w:tblStylePr w:type="nwCell">
      <w:rPr>
        <w:color w:val="000000" w:themeColor="text1"/>
      </w:rPr>
    </w:tblStylePr>
  </w:style>
  <w:style w:type="table" w:styleId="212">
    <w:name w:val="Colorful Shading Accent 2"/>
    <w:basedOn w:val="88"/>
    <w:autoRedefine/>
    <w:qFormat/>
    <w:uiPriority w:val="71"/>
    <w:rPr>
      <w:rFonts w:ascii="Times New Roman" w:hAnsi="Times New Roman"/>
      <w:color w:val="000000" w:themeColor="text1"/>
    </w:rPr>
    <w:tblPr>
      <w:tblBorders>
        <w:top w:val="single" w:color="C0504D" w:themeColor="accent2" w:sz="24" w:space="0"/>
        <w:left w:val="single" w:color="C0504D" w:themeColor="accent2" w:sz="4" w:space="0"/>
        <w:bottom w:val="single" w:color="C0504D" w:themeColor="accent2" w:sz="4" w:space="0"/>
        <w:right w:val="single" w:color="C0504D" w:themeColor="accent2"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213">
    <w:name w:val="Colorful Shading Accent 3"/>
    <w:basedOn w:val="88"/>
    <w:qFormat/>
    <w:uiPriority w:val="71"/>
    <w:rPr>
      <w:rFonts w:ascii="Times New Roman" w:hAnsi="Times New Roman"/>
      <w:color w:val="000000" w:themeColor="text1"/>
    </w:rPr>
    <w:tblPr>
      <w:tblBorders>
        <w:top w:val="single" w:color="8064A2" w:themeColor="accent4" w:sz="24" w:space="0"/>
        <w:left w:val="single" w:color="9BBB59" w:themeColor="accent3" w:sz="4" w:space="0"/>
        <w:bottom w:val="single" w:color="9BBB59" w:themeColor="accent3" w:sz="4" w:space="0"/>
        <w:right w:val="single" w:color="9BBB59" w:themeColor="accent3"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214">
    <w:name w:val="Colorful Shading Accent 4"/>
    <w:basedOn w:val="88"/>
    <w:qFormat/>
    <w:uiPriority w:val="71"/>
    <w:rPr>
      <w:rFonts w:ascii="Times New Roman" w:hAnsi="Times New Roman"/>
      <w:color w:val="000000" w:themeColor="text1"/>
    </w:rPr>
    <w:tblPr>
      <w:tblBorders>
        <w:top w:val="single" w:color="9BBB59" w:themeColor="accent3" w:sz="24" w:space="0"/>
        <w:left w:val="single" w:color="8064A2" w:themeColor="accent4" w:sz="4" w:space="0"/>
        <w:bottom w:val="single" w:color="8064A2" w:themeColor="accent4" w:sz="4" w:space="0"/>
        <w:right w:val="single" w:color="8064A2" w:themeColor="accent4"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2EFF5" w:themeFill="accent4" w:themeFillTint="19"/>
    </w:tcPr>
    <w:tblStylePr w:type="firstRow">
      <w:rPr>
        <w:b/>
        <w:bCs/>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4C3A62" w:themeFill="accent4" w:themeFillShade="99"/>
      </w:tcPr>
    </w:tblStylePr>
    <w:tblStylePr w:type="firstCol">
      <w:rPr>
        <w:color w:val="FFFFFF" w:themeColor="background1"/>
      </w:rPr>
      <w:tblPr/>
      <w:tcPr>
        <w:tcBorders>
          <w:top w:val="nil"/>
          <w:left w:val="nil"/>
          <w:bottom w:val="nil"/>
          <w:right w:val="nil"/>
          <w:insideH w:val="single" w:sz="4" w:space="0"/>
          <w:insideV w:val="nil"/>
        </w:tcBorders>
        <w:shd w:val="clear" w:color="auto" w:fill="4C3A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A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215">
    <w:name w:val="Colorful Shading Accent 5"/>
    <w:basedOn w:val="88"/>
    <w:qFormat/>
    <w:uiPriority w:val="71"/>
    <w:rPr>
      <w:rFonts w:ascii="Times New Roman" w:hAnsi="Times New Roman"/>
      <w:color w:val="000000" w:themeColor="text1"/>
    </w:rPr>
    <w:tblPr>
      <w:tblBorders>
        <w:top w:val="single" w:color="F79646" w:themeColor="accent6" w:sz="24" w:space="0"/>
        <w:left w:val="single" w:color="4BACC6" w:themeColor="accent5" w:sz="4" w:space="0"/>
        <w:bottom w:val="single" w:color="4BACC6" w:themeColor="accent5" w:sz="4" w:space="0"/>
        <w:right w:val="single" w:color="4BACC6" w:themeColor="accent5"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216">
    <w:name w:val="Colorful Shading Accent 6"/>
    <w:basedOn w:val="88"/>
    <w:qFormat/>
    <w:uiPriority w:val="71"/>
    <w:rPr>
      <w:rFonts w:ascii="Times New Roman" w:hAnsi="Times New Roman"/>
      <w:color w:val="000000" w:themeColor="text1"/>
    </w:rPr>
    <w:tblPr>
      <w:tblBorders>
        <w:top w:val="single" w:color="4BACC6" w:themeColor="accent5" w:sz="24" w:space="0"/>
        <w:left w:val="single" w:color="F79646" w:themeColor="accent6" w:sz="4" w:space="0"/>
        <w:bottom w:val="single" w:color="F79646" w:themeColor="accent6" w:sz="4" w:space="0"/>
        <w:right w:val="single" w:color="F79646" w:themeColor="accent6"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B65607" w:themeFill="accent6" w:themeFillShade="99"/>
      </w:tcPr>
    </w:tblStylePr>
    <w:tblStylePr w:type="firstCol">
      <w:rPr>
        <w:color w:val="FFFFFF" w:themeColor="background1"/>
      </w:rPr>
      <w:tblPr/>
      <w:tcPr>
        <w:tcBorders>
          <w:top w:val="nil"/>
          <w:left w:val="nil"/>
          <w:bottom w:val="nil"/>
          <w:right w:val="nil"/>
          <w:insideH w:val="single" w:sz="4" w:space="0"/>
          <w:insideV w:val="nil"/>
        </w:tcBorders>
        <w:shd w:val="clear" w:color="auto" w:fill="B65607"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7"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217">
    <w:name w:val="Colorful List"/>
    <w:basedOn w:val="88"/>
    <w:qFormat/>
    <w:uiPriority w:val="72"/>
    <w:rPr>
      <w:rFonts w:ascii="Times New Roman" w:hAnsi="Times New Roman"/>
      <w:color w:val="000000" w:themeColor="text1"/>
    </w:rPr>
    <w:tblPr>
      <w:tblCellMar>
        <w:top w:w="0" w:type="dxa"/>
        <w:left w:w="108" w:type="dxa"/>
        <w:bottom w:w="0" w:type="dxa"/>
        <w:right w:w="108" w:type="dxa"/>
      </w:tblCellMar>
    </w:tblPr>
    <w:tcPr>
      <w:shd w:val="clear" w:color="auto" w:fill="E5E5E5" w:themeFill="tex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FBFBF" w:themeFill="text1" w:themeFillTint="3F"/>
      </w:tcPr>
    </w:tblStylePr>
    <w:tblStylePr w:type="band1Horz">
      <w:tblPr/>
      <w:tcPr>
        <w:shd w:val="clear" w:color="auto" w:fill="CCCCCC" w:themeFill="text1" w:themeFillTint="33"/>
      </w:tcPr>
    </w:tblStylePr>
  </w:style>
  <w:style w:type="table" w:styleId="218">
    <w:name w:val="Colorful List Accent 1"/>
    <w:basedOn w:val="88"/>
    <w:qFormat/>
    <w:uiPriority w:val="72"/>
    <w:rPr>
      <w:rFonts w:ascii="Times New Roman" w:hAnsi="Times New Roman"/>
      <w:color w:val="000000" w:themeColor="text1"/>
    </w:rPr>
    <w:tblPr>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19">
    <w:name w:val="Colorful List Accent 2"/>
    <w:basedOn w:val="88"/>
    <w:qFormat/>
    <w:uiPriority w:val="72"/>
    <w:rPr>
      <w:rFonts w:ascii="Times New Roman" w:hAnsi="Times New Roman"/>
      <w:color w:val="000000" w:themeColor="text1"/>
    </w:rPr>
    <w:tblPr>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3" w:themeFill="accent2" w:themeFillTint="3F"/>
      </w:tcPr>
    </w:tblStylePr>
    <w:tblStylePr w:type="band1Horz">
      <w:tblPr/>
      <w:tcPr>
        <w:shd w:val="clear" w:color="auto" w:fill="F2DBDB" w:themeFill="accent2" w:themeFillTint="33"/>
      </w:tcPr>
    </w:tblStylePr>
  </w:style>
  <w:style w:type="table" w:styleId="220">
    <w:name w:val="Colorful List Accent 3"/>
    <w:basedOn w:val="88"/>
    <w:qFormat/>
    <w:uiPriority w:val="72"/>
    <w:rPr>
      <w:rFonts w:ascii="Times New Roman" w:hAnsi="Times New Roman"/>
      <w:color w:val="000000" w:themeColor="text1"/>
    </w:rPr>
    <w:tblPr>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color="FFFFFF" w:themeColor="background1" w:sz="12" w:space="0"/>
        </w:tcBorders>
        <w:shd w:val="clear" w:color="auto" w:fill="664E82" w:themeFill="accent4" w:themeFillShade="CC"/>
      </w:tcPr>
    </w:tblStylePr>
    <w:tblStylePr w:type="lastRow">
      <w:rPr>
        <w:b/>
        <w:bCs/>
        <w:color w:val="664E82" w:themeColor="accent4"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221">
    <w:name w:val="Colorful List Accent 4"/>
    <w:basedOn w:val="88"/>
    <w:autoRedefine/>
    <w:qFormat/>
    <w:uiPriority w:val="72"/>
    <w:rPr>
      <w:rFonts w:ascii="Times New Roman" w:hAnsi="Times New Roman"/>
      <w:color w:val="000000" w:themeColor="text1"/>
    </w:rPr>
    <w:tblPr>
      <w:tblCellMar>
        <w:top w:w="0" w:type="dxa"/>
        <w:left w:w="108" w:type="dxa"/>
        <w:bottom w:w="0" w:type="dxa"/>
        <w:right w:w="108" w:type="dxa"/>
      </w:tblCellMar>
    </w:tblPr>
    <w:tcPr>
      <w:shd w:val="clear" w:color="auto" w:fill="F2EFF5" w:themeFill="accent4" w:themeFillTint="19"/>
    </w:tcPr>
    <w:tblStylePr w:type="firstRow">
      <w:rPr>
        <w:b/>
        <w:bCs/>
        <w:color w:val="FFFFFF" w:themeColor="background1"/>
      </w:rPr>
      <w:tblPr/>
      <w:tcPr>
        <w:tcBorders>
          <w:bottom w:val="single" w:color="FFFFFF" w:themeColor="background1" w:sz="12" w:space="0"/>
        </w:tcBorders>
        <w:shd w:val="clear" w:color="auto" w:fill="7E9C40" w:themeFill="accent3" w:themeFillShade="CC"/>
      </w:tcPr>
    </w:tblStylePr>
    <w:tblStylePr w:type="lastRow">
      <w:rPr>
        <w:b/>
        <w:bCs/>
        <w:color w:val="7E9C40" w:themeColor="accent3"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222">
    <w:name w:val="Colorful List Accent 5"/>
    <w:basedOn w:val="88"/>
    <w:qFormat/>
    <w:uiPriority w:val="72"/>
    <w:rPr>
      <w:rFonts w:ascii="Times New Roman" w:hAnsi="Times New Roman"/>
      <w:color w:val="000000" w:themeColor="text1"/>
    </w:rPr>
    <w:tblPr>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color="FFFFFF" w:themeColor="background1" w:sz="12" w:space="0"/>
        </w:tcBorders>
        <w:shd w:val="clear" w:color="auto" w:fill="F3730A" w:themeFill="accent6" w:themeFillShade="CC"/>
      </w:tcPr>
    </w:tblStylePr>
    <w:tblStylePr w:type="lastRow">
      <w:rPr>
        <w:b/>
        <w:bCs/>
        <w:color w:val="F3730A" w:themeColor="accent6"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0" w:themeFill="accent5" w:themeFillTint="3F"/>
      </w:tcPr>
    </w:tblStylePr>
    <w:tblStylePr w:type="band1Horz">
      <w:tblPr/>
      <w:tcPr>
        <w:shd w:val="clear" w:color="auto" w:fill="DAEEF3" w:themeFill="accent5" w:themeFillTint="33"/>
      </w:tcPr>
    </w:tblStylePr>
  </w:style>
  <w:style w:type="table" w:styleId="223">
    <w:name w:val="Colorful List Accent 6"/>
    <w:basedOn w:val="88"/>
    <w:qFormat/>
    <w:uiPriority w:val="72"/>
    <w:rPr>
      <w:rFonts w:ascii="Times New Roman" w:hAnsi="Times New Roman"/>
      <w:color w:val="000000" w:themeColor="text1"/>
    </w:rPr>
    <w:tblPr>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color="FFFFFF" w:themeColor="background1" w:sz="12" w:space="0"/>
        </w:tcBorders>
        <w:shd w:val="clear" w:color="auto" w:fill="348DA5" w:themeFill="accent5" w:themeFillShade="CC"/>
      </w:tcPr>
    </w:tblStylePr>
    <w:tblStylePr w:type="lastRow">
      <w:rPr>
        <w:b/>
        <w:bCs/>
        <w:color w:val="348DA5" w:themeColor="accent5"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5D1" w:themeFill="accent6" w:themeFillTint="3F"/>
      </w:tcPr>
    </w:tblStylePr>
    <w:tblStylePr w:type="band1Horz">
      <w:tblPr/>
      <w:tcPr>
        <w:shd w:val="clear" w:color="auto" w:fill="FDE9D9" w:themeFill="accent6" w:themeFillTint="33"/>
      </w:tcPr>
    </w:tblStylePr>
  </w:style>
  <w:style w:type="table" w:styleId="224">
    <w:name w:val="Colorful Grid"/>
    <w:basedOn w:val="88"/>
    <w:qFormat/>
    <w:uiPriority w:val="73"/>
    <w:rPr>
      <w:rFonts w:ascii="Times New Roman" w:hAnsi="Times New Roman"/>
      <w:color w:val="000000" w:themeColor="text1"/>
    </w:rPr>
    <w:tblPr>
      <w:tblBorders>
        <w:insideH w:val="single" w:color="FFFFFF" w:themeColor="background1" w:sz="4" w:space="0"/>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7F7F7F" w:themeFill="text1" w:themeFillTint="7F"/>
      </w:tcPr>
    </w:tblStylePr>
    <w:tblStylePr w:type="band1Horz">
      <w:tblPr/>
      <w:tcPr>
        <w:shd w:val="clear" w:color="auto" w:fill="7F7F7F" w:themeFill="text1" w:themeFillTint="7F"/>
      </w:tcPr>
    </w:tblStylePr>
  </w:style>
  <w:style w:type="table" w:styleId="225">
    <w:name w:val="Colorful Grid Accent 1"/>
    <w:basedOn w:val="88"/>
    <w:qFormat/>
    <w:uiPriority w:val="73"/>
    <w:rPr>
      <w:rFonts w:ascii="Times New Roman" w:hAnsi="Times New Roman"/>
      <w:color w:val="000000" w:themeColor="text1"/>
    </w:rPr>
    <w:tblPr>
      <w:tblBorders>
        <w:insideH w:val="single" w:color="FFFFFF" w:themeColor="background1" w:sz="4" w:space="0"/>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6091" w:themeFill="accent1" w:themeFillShade="BF"/>
      </w:tcPr>
    </w:tblStylePr>
    <w:tblStylePr w:type="lastCol">
      <w:rPr>
        <w:color w:val="FFFFFF" w:themeColor="background1"/>
      </w:rPr>
      <w:tblPr/>
      <w:tcPr>
        <w:shd w:val="clear" w:color="auto" w:fill="366091" w:themeFill="accent1" w:themeFillShade="BF"/>
      </w:tcPr>
    </w:tblStylePr>
    <w:tblStylePr w:type="band1Vert">
      <w:tblPr/>
      <w:tcPr>
        <w:shd w:val="clear" w:color="auto" w:fill="A7C0DE" w:themeFill="accent1" w:themeFillTint="7F"/>
      </w:tcPr>
    </w:tblStylePr>
    <w:tblStylePr w:type="band1Horz">
      <w:tblPr/>
      <w:tcPr>
        <w:shd w:val="clear" w:color="auto" w:fill="A7C0DE" w:themeFill="accent1" w:themeFillTint="7F"/>
      </w:tcPr>
    </w:tblStylePr>
  </w:style>
  <w:style w:type="table" w:styleId="226">
    <w:name w:val="Colorful Grid Accent 2"/>
    <w:basedOn w:val="88"/>
    <w:qFormat/>
    <w:uiPriority w:val="73"/>
    <w:rPr>
      <w:rFonts w:ascii="Times New Roman" w:hAnsi="Times New Roman"/>
      <w:color w:val="000000" w:themeColor="text1"/>
    </w:rPr>
    <w:tblPr>
      <w:tblBorders>
        <w:insideH w:val="single" w:color="FFFFFF" w:themeColor="background1" w:sz="4" w:space="0"/>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734" w:themeFill="accent2" w:themeFillShade="BF"/>
      </w:tcPr>
    </w:tblStylePr>
    <w:tblStylePr w:type="lastCol">
      <w:rPr>
        <w:color w:val="FFFFFF" w:themeColor="background1"/>
      </w:rPr>
      <w:tblPr/>
      <w:tcPr>
        <w:shd w:val="clear" w:color="auto" w:fill="9437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227">
    <w:name w:val="Colorful Grid Accent 3"/>
    <w:basedOn w:val="88"/>
    <w:qFormat/>
    <w:uiPriority w:val="73"/>
    <w:rPr>
      <w:rFonts w:ascii="Times New Roman" w:hAnsi="Times New Roman"/>
      <w:color w:val="000000" w:themeColor="text1"/>
    </w:rPr>
    <w:tblPr>
      <w:tblBorders>
        <w:insideH w:val="single" w:color="FFFFFF" w:themeColor="background1" w:sz="4" w:space="0"/>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228">
    <w:name w:val="Colorful Grid Accent 4"/>
    <w:basedOn w:val="88"/>
    <w:qFormat/>
    <w:uiPriority w:val="73"/>
    <w:rPr>
      <w:rFonts w:ascii="Times New Roman" w:hAnsi="Times New Roman"/>
      <w:color w:val="000000" w:themeColor="text1"/>
    </w:rPr>
    <w:tblPr>
      <w:tblBorders>
        <w:insideH w:val="single" w:color="FFFFFF" w:themeColor="background1" w:sz="4" w:space="0"/>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229">
    <w:name w:val="Colorful Grid Accent 5"/>
    <w:basedOn w:val="88"/>
    <w:qFormat/>
    <w:uiPriority w:val="73"/>
    <w:rPr>
      <w:rFonts w:ascii="Times New Roman" w:hAnsi="Times New Roman"/>
      <w:color w:val="000000" w:themeColor="text1"/>
    </w:rPr>
    <w:tblPr>
      <w:tblBorders>
        <w:insideH w:val="single" w:color="FFFFFF" w:themeColor="background1" w:sz="4" w:space="0"/>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230">
    <w:name w:val="Colorful Grid Accent 6"/>
    <w:basedOn w:val="88"/>
    <w:qFormat/>
    <w:uiPriority w:val="73"/>
    <w:rPr>
      <w:rFonts w:ascii="Times New Roman" w:hAnsi="Times New Roman"/>
      <w:color w:val="000000" w:themeColor="text1"/>
    </w:rPr>
    <w:tblPr>
      <w:tblBorders>
        <w:insideH w:val="single" w:color="FFFFFF" w:themeColor="background1" w:sz="4" w:space="0"/>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9" w:themeFill="accent6" w:themeFillShade="BF"/>
      </w:tcPr>
    </w:tblStylePr>
    <w:tblStylePr w:type="lastCol">
      <w:rPr>
        <w:color w:val="FFFFFF" w:themeColor="background1"/>
      </w:rPr>
      <w:tblPr/>
      <w:tcPr>
        <w:shd w:val="clear" w:color="auto" w:fill="E36C09"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232">
    <w:name w:val="Strong"/>
    <w:basedOn w:val="231"/>
    <w:qFormat/>
    <w:uiPriority w:val="22"/>
    <w:rPr>
      <w:b/>
      <w:bCs/>
    </w:rPr>
  </w:style>
  <w:style w:type="character" w:styleId="233">
    <w:name w:val="endnote reference"/>
    <w:basedOn w:val="231"/>
    <w:semiHidden/>
    <w:unhideWhenUsed/>
    <w:qFormat/>
    <w:uiPriority w:val="99"/>
    <w:rPr>
      <w:vertAlign w:val="superscript"/>
    </w:rPr>
  </w:style>
  <w:style w:type="character" w:styleId="234">
    <w:name w:val="page number"/>
    <w:basedOn w:val="231"/>
    <w:qFormat/>
    <w:uiPriority w:val="0"/>
  </w:style>
  <w:style w:type="character" w:styleId="235">
    <w:name w:val="FollowedHyperlink"/>
    <w:basedOn w:val="231"/>
    <w:semiHidden/>
    <w:unhideWhenUsed/>
    <w:qFormat/>
    <w:uiPriority w:val="99"/>
    <w:rPr>
      <w:color w:val="800080"/>
      <w:u w:val="single"/>
    </w:rPr>
  </w:style>
  <w:style w:type="character" w:styleId="236">
    <w:name w:val="Emphasis"/>
    <w:basedOn w:val="231"/>
    <w:qFormat/>
    <w:uiPriority w:val="20"/>
    <w:rPr>
      <w:rFonts w:asciiTheme="minorHAnsi" w:hAnsiTheme="minorHAnsi"/>
      <w:b/>
      <w:i/>
      <w:iCs/>
    </w:rPr>
  </w:style>
  <w:style w:type="character" w:styleId="237">
    <w:name w:val="line number"/>
    <w:basedOn w:val="231"/>
    <w:semiHidden/>
    <w:unhideWhenUsed/>
    <w:qFormat/>
    <w:uiPriority w:val="99"/>
  </w:style>
  <w:style w:type="character" w:styleId="238">
    <w:name w:val="HTML Definition"/>
    <w:basedOn w:val="231"/>
    <w:semiHidden/>
    <w:unhideWhenUsed/>
    <w:qFormat/>
    <w:uiPriority w:val="99"/>
    <w:rPr>
      <w:i/>
      <w:iCs/>
    </w:rPr>
  </w:style>
  <w:style w:type="character" w:styleId="239">
    <w:name w:val="HTML Typewriter"/>
    <w:basedOn w:val="231"/>
    <w:semiHidden/>
    <w:unhideWhenUsed/>
    <w:qFormat/>
    <w:uiPriority w:val="99"/>
    <w:rPr>
      <w:rFonts w:ascii="Courier New" w:hAnsi="Courier New" w:cs="Courier New"/>
      <w:sz w:val="20"/>
      <w:szCs w:val="20"/>
    </w:rPr>
  </w:style>
  <w:style w:type="character" w:styleId="240">
    <w:name w:val="HTML Acronym"/>
    <w:basedOn w:val="231"/>
    <w:semiHidden/>
    <w:unhideWhenUsed/>
    <w:qFormat/>
    <w:uiPriority w:val="99"/>
  </w:style>
  <w:style w:type="character" w:styleId="241">
    <w:name w:val="HTML Variable"/>
    <w:basedOn w:val="231"/>
    <w:semiHidden/>
    <w:unhideWhenUsed/>
    <w:qFormat/>
    <w:uiPriority w:val="99"/>
    <w:rPr>
      <w:i/>
      <w:iCs/>
    </w:rPr>
  </w:style>
  <w:style w:type="character" w:styleId="242">
    <w:name w:val="Hyperlink"/>
    <w:qFormat/>
    <w:uiPriority w:val="99"/>
    <w:rPr>
      <w:color w:val="0000FF"/>
      <w:u w:val="single"/>
    </w:rPr>
  </w:style>
  <w:style w:type="character" w:styleId="243">
    <w:name w:val="HTML Code"/>
    <w:basedOn w:val="231"/>
    <w:semiHidden/>
    <w:unhideWhenUsed/>
    <w:qFormat/>
    <w:uiPriority w:val="99"/>
    <w:rPr>
      <w:rFonts w:ascii="Courier New" w:hAnsi="Courier New" w:cs="Courier New"/>
      <w:sz w:val="20"/>
      <w:szCs w:val="20"/>
    </w:rPr>
  </w:style>
  <w:style w:type="character" w:styleId="244">
    <w:name w:val="annotation reference"/>
    <w:unhideWhenUsed/>
    <w:qFormat/>
    <w:uiPriority w:val="99"/>
    <w:rPr>
      <w:sz w:val="21"/>
    </w:rPr>
  </w:style>
  <w:style w:type="character" w:styleId="245">
    <w:name w:val="HTML Cite"/>
    <w:basedOn w:val="231"/>
    <w:semiHidden/>
    <w:unhideWhenUsed/>
    <w:qFormat/>
    <w:uiPriority w:val="99"/>
    <w:rPr>
      <w:i/>
      <w:iCs/>
    </w:rPr>
  </w:style>
  <w:style w:type="character" w:styleId="246">
    <w:name w:val="footnote reference"/>
    <w:basedOn w:val="231"/>
    <w:semiHidden/>
    <w:unhideWhenUsed/>
    <w:qFormat/>
    <w:uiPriority w:val="99"/>
    <w:rPr>
      <w:vertAlign w:val="superscript"/>
    </w:rPr>
  </w:style>
  <w:style w:type="character" w:styleId="247">
    <w:name w:val="HTML Keyboard"/>
    <w:basedOn w:val="231"/>
    <w:semiHidden/>
    <w:unhideWhenUsed/>
    <w:qFormat/>
    <w:uiPriority w:val="99"/>
    <w:rPr>
      <w:rFonts w:ascii="Courier New" w:hAnsi="Courier New" w:cs="Courier New"/>
      <w:sz w:val="20"/>
      <w:szCs w:val="20"/>
    </w:rPr>
  </w:style>
  <w:style w:type="character" w:styleId="248">
    <w:name w:val="HTML Sample"/>
    <w:basedOn w:val="231"/>
    <w:semiHidden/>
    <w:unhideWhenUsed/>
    <w:qFormat/>
    <w:uiPriority w:val="99"/>
    <w:rPr>
      <w:rFonts w:ascii="Courier New" w:hAnsi="Courier New" w:cs="Courier New"/>
    </w:rPr>
  </w:style>
  <w:style w:type="paragraph" w:customStyle="1" w:styleId="249">
    <w:name w:val="Default"/>
    <w:basedOn w:val="1"/>
    <w:qFormat/>
    <w:uiPriority w:val="0"/>
    <w:pPr>
      <w:autoSpaceDE w:val="0"/>
      <w:autoSpaceDN w:val="0"/>
      <w:spacing w:line="240" w:lineRule="auto"/>
      <w:ind w:firstLine="0" w:firstLineChars="0"/>
      <w:jc w:val="left"/>
    </w:pPr>
    <w:rPr>
      <w:rFonts w:ascii="宋体" w:hAnsi="Calibri" w:cs="宋体"/>
      <w:color w:val="000000"/>
      <w:kern w:val="0"/>
    </w:rPr>
  </w:style>
  <w:style w:type="paragraph" w:customStyle="1" w:styleId="250">
    <w:name w:val="样式 正文首行缩进 + 首行缩进:  2 字符1"/>
    <w:basedOn w:val="1"/>
    <w:next w:val="1"/>
    <w:qFormat/>
    <w:uiPriority w:val="99"/>
    <w:rPr>
      <w:kern w:val="0"/>
    </w:rPr>
  </w:style>
  <w:style w:type="character" w:customStyle="1" w:styleId="251">
    <w:name w:val="正文文本 Char"/>
    <w:basedOn w:val="231"/>
    <w:link w:val="22"/>
    <w:qFormat/>
    <w:uiPriority w:val="99"/>
    <w:rPr>
      <w:rFonts w:ascii="Times New Roman" w:hAnsi="Times New Roman" w:eastAsia="宋体" w:cs="Times New Roman"/>
      <w:sz w:val="28"/>
      <w:szCs w:val="24"/>
    </w:rPr>
  </w:style>
  <w:style w:type="character" w:customStyle="1" w:styleId="252">
    <w:name w:val="批注框文本 Char"/>
    <w:basedOn w:val="231"/>
    <w:link w:val="54"/>
    <w:semiHidden/>
    <w:qFormat/>
    <w:uiPriority w:val="99"/>
    <w:rPr>
      <w:rFonts w:ascii="Times New Roman" w:hAnsi="Times New Roman" w:eastAsia="宋体" w:cs="Times New Roman"/>
      <w:sz w:val="18"/>
      <w:szCs w:val="18"/>
    </w:rPr>
  </w:style>
  <w:style w:type="character" w:customStyle="1" w:styleId="253">
    <w:name w:val="标题 1 Char"/>
    <w:link w:val="3"/>
    <w:qFormat/>
    <w:uiPriority w:val="9"/>
    <w:rPr>
      <w:rFonts w:ascii="仿宋_GB2312" w:hAnsi="宋体" w:eastAsia="仿宋_GB2312" w:cs="仿宋_GB2312"/>
      <w:b/>
      <w:kern w:val="2"/>
      <w:sz w:val="30"/>
      <w:szCs w:val="30"/>
    </w:rPr>
  </w:style>
  <w:style w:type="character" w:customStyle="1" w:styleId="254">
    <w:name w:val="标题 2 Char"/>
    <w:link w:val="4"/>
    <w:qFormat/>
    <w:uiPriority w:val="9"/>
    <w:rPr>
      <w:rFonts w:ascii="仿宋_GB2312" w:hAnsi="宋体" w:eastAsia="仿宋_GB2312" w:cs="宋体"/>
      <w:b/>
      <w:iCs/>
      <w:spacing w:val="8"/>
      <w:sz w:val="28"/>
      <w:szCs w:val="28"/>
    </w:rPr>
  </w:style>
  <w:style w:type="character" w:customStyle="1" w:styleId="255">
    <w:name w:val="标题 3 Char"/>
    <w:link w:val="5"/>
    <w:qFormat/>
    <w:uiPriority w:val="9"/>
    <w:rPr>
      <w:rFonts w:ascii="仿宋_GB2312" w:hAnsi="仿宋_GB2312" w:eastAsia="仿宋_GB2312" w:cs="宋体"/>
      <w:b/>
      <w:sz w:val="24"/>
      <w:szCs w:val="28"/>
    </w:rPr>
  </w:style>
  <w:style w:type="character" w:customStyle="1" w:styleId="256">
    <w:name w:val="页脚 Char"/>
    <w:basedOn w:val="231"/>
    <w:qFormat/>
    <w:uiPriority w:val="99"/>
    <w:rPr>
      <w:sz w:val="18"/>
      <w:szCs w:val="24"/>
    </w:rPr>
  </w:style>
  <w:style w:type="character" w:customStyle="1" w:styleId="257">
    <w:name w:val="t11"/>
    <w:basedOn w:val="231"/>
    <w:autoRedefine/>
    <w:qFormat/>
    <w:uiPriority w:val="0"/>
    <w:rPr>
      <w:sz w:val="21"/>
    </w:rPr>
  </w:style>
  <w:style w:type="character" w:customStyle="1" w:styleId="258">
    <w:name w:val="正文文本 2 Char"/>
    <w:basedOn w:val="231"/>
    <w:qFormat/>
    <w:uiPriority w:val="99"/>
    <w:rPr>
      <w:rFonts w:ascii="宋体" w:hAnsi="宋体"/>
      <w:color w:val="000000"/>
      <w:sz w:val="30"/>
      <w:szCs w:val="24"/>
      <w:u w:color="FFFFFF"/>
    </w:rPr>
  </w:style>
  <w:style w:type="character" w:customStyle="1" w:styleId="259">
    <w:name w:val="CDL图表名0 Char"/>
    <w:link w:val="260"/>
    <w:qFormat/>
    <w:uiPriority w:val="0"/>
    <w:rPr>
      <w:rFonts w:ascii="宋体" w:hAnsi="宋体" w:eastAsia="宋体"/>
      <w:b/>
      <w:bCs/>
      <w:sz w:val="28"/>
    </w:rPr>
  </w:style>
  <w:style w:type="paragraph" w:customStyle="1" w:styleId="260">
    <w:name w:val="CDL图表名0"/>
    <w:basedOn w:val="261"/>
    <w:link w:val="259"/>
    <w:qFormat/>
    <w:uiPriority w:val="0"/>
    <w:pPr>
      <w:ind w:firstLine="0" w:firstLineChars="0"/>
      <w:jc w:val="center"/>
    </w:pPr>
    <w:rPr>
      <w:b/>
      <w:bCs/>
    </w:rPr>
  </w:style>
  <w:style w:type="paragraph" w:customStyle="1" w:styleId="261">
    <w:name w:val="CDL正文0"/>
    <w:basedOn w:val="1"/>
    <w:link w:val="262"/>
    <w:qFormat/>
    <w:uiPriority w:val="0"/>
    <w:pPr>
      <w:ind w:firstLine="495" w:firstLineChars="197"/>
    </w:pPr>
    <w:rPr>
      <w:rFonts w:ascii="宋体" w:hAnsi="宋体" w:cstheme="minorBidi"/>
      <w:szCs w:val="22"/>
    </w:rPr>
  </w:style>
  <w:style w:type="character" w:customStyle="1" w:styleId="262">
    <w:name w:val="CDL正文0 Char"/>
    <w:link w:val="261"/>
    <w:qFormat/>
    <w:uiPriority w:val="0"/>
    <w:rPr>
      <w:rFonts w:ascii="宋体" w:hAnsi="宋体" w:eastAsia="宋体"/>
      <w:sz w:val="28"/>
    </w:rPr>
  </w:style>
  <w:style w:type="character" w:customStyle="1" w:styleId="263">
    <w:name w:val="标题 Char"/>
    <w:link w:val="84"/>
    <w:qFormat/>
    <w:uiPriority w:val="10"/>
    <w:rPr>
      <w:rFonts w:ascii="仿宋_GB2312" w:hAnsi="宋体" w:eastAsia="仿宋_GB2312"/>
      <w:b/>
      <w:spacing w:val="5"/>
      <w:kern w:val="28"/>
      <w:sz w:val="44"/>
      <w:szCs w:val="52"/>
    </w:rPr>
  </w:style>
  <w:style w:type="character" w:customStyle="1" w:styleId="264">
    <w:name w:val="纯文本 Char"/>
    <w:basedOn w:val="231"/>
    <w:qFormat/>
    <w:uiPriority w:val="0"/>
    <w:rPr>
      <w:rFonts w:ascii="宋体" w:hAnsi="Courier New" w:eastAsia="宋体"/>
      <w:szCs w:val="24"/>
    </w:rPr>
  </w:style>
  <w:style w:type="character" w:customStyle="1" w:styleId="265">
    <w:name w:val="正文首行缩进 Char"/>
    <w:basedOn w:val="251"/>
    <w:link w:val="86"/>
    <w:qFormat/>
    <w:uiPriority w:val="99"/>
    <w:rPr>
      <w:rFonts w:ascii="Times New Roman" w:hAnsi="Times New Roman" w:eastAsia="宋体" w:cs="Times New Roman"/>
      <w:sz w:val="28"/>
      <w:szCs w:val="24"/>
    </w:rPr>
  </w:style>
  <w:style w:type="character" w:customStyle="1" w:styleId="266">
    <w:name w:val="正文文本缩进 3 Char"/>
    <w:basedOn w:val="231"/>
    <w:link w:val="70"/>
    <w:qFormat/>
    <w:uiPriority w:val="99"/>
    <w:rPr>
      <w:rFonts w:ascii="Times New Roman" w:hAnsi="Times New Roman" w:eastAsia="宋体" w:cs="Times New Roman"/>
      <w:sz w:val="16"/>
      <w:szCs w:val="16"/>
    </w:rPr>
  </w:style>
  <w:style w:type="character" w:customStyle="1" w:styleId="267">
    <w:name w:val="文档结构图 Char"/>
    <w:basedOn w:val="231"/>
    <w:link w:val="27"/>
    <w:semiHidden/>
    <w:qFormat/>
    <w:uiPriority w:val="99"/>
    <w:rPr>
      <w:rFonts w:ascii="Times New Roman" w:hAnsi="Times New Roman" w:eastAsia="宋体" w:cs="Times New Roman"/>
      <w:szCs w:val="24"/>
      <w:shd w:val="clear" w:color="auto" w:fill="000080"/>
    </w:rPr>
  </w:style>
  <w:style w:type="character" w:customStyle="1" w:styleId="268">
    <w:name w:val="称呼 Char"/>
    <w:basedOn w:val="231"/>
    <w:link w:val="31"/>
    <w:qFormat/>
    <w:uiPriority w:val="99"/>
    <w:rPr>
      <w:rFonts w:ascii="Times New Roman" w:hAnsi="Times New Roman" w:eastAsia="宋体" w:cs="Times New Roman"/>
      <w:sz w:val="28"/>
      <w:szCs w:val="24"/>
    </w:rPr>
  </w:style>
  <w:style w:type="character" w:customStyle="1" w:styleId="269">
    <w:name w:val="正文文本缩进 Char"/>
    <w:basedOn w:val="231"/>
    <w:link w:val="35"/>
    <w:qFormat/>
    <w:uiPriority w:val="99"/>
    <w:rPr>
      <w:rFonts w:ascii="Times New Roman" w:hAnsi="Times New Roman" w:eastAsia="宋体" w:cs="Times New Roman"/>
      <w:szCs w:val="24"/>
    </w:rPr>
  </w:style>
  <w:style w:type="paragraph" w:customStyle="1" w:styleId="270">
    <w:name w:val="xl58"/>
    <w:basedOn w:val="1"/>
    <w:qFormat/>
    <w:uiPriority w:val="0"/>
    <w:pPr>
      <w:widowControl/>
      <w:spacing w:before="100" w:beforeAutospacing="1" w:after="100" w:afterAutospacing="1"/>
      <w:jc w:val="center"/>
      <w:textAlignment w:val="center"/>
    </w:pPr>
    <w:rPr>
      <w:rFonts w:hint="eastAsia" w:hAnsi="Arial Unicode MS" w:cs="Arial Unicode MS"/>
      <w:b/>
      <w:bCs/>
      <w:kern w:val="0"/>
      <w:szCs w:val="28"/>
    </w:rPr>
  </w:style>
  <w:style w:type="character" w:customStyle="1" w:styleId="271">
    <w:name w:val="纯文本 Char1"/>
    <w:basedOn w:val="231"/>
    <w:link w:val="45"/>
    <w:qFormat/>
    <w:uiPriority w:val="0"/>
    <w:rPr>
      <w:rFonts w:ascii="宋体" w:hAnsi="Courier New" w:eastAsia="宋体" w:cs="Courier New"/>
      <w:szCs w:val="21"/>
    </w:rPr>
  </w:style>
  <w:style w:type="character" w:customStyle="1" w:styleId="272">
    <w:name w:val="正文文本缩进 2 Char"/>
    <w:basedOn w:val="231"/>
    <w:link w:val="51"/>
    <w:qFormat/>
    <w:uiPriority w:val="99"/>
    <w:rPr>
      <w:rFonts w:ascii="华文中宋" w:hAnsi="华文中宋" w:eastAsia="华文中宋" w:cs="Times New Roman"/>
      <w:sz w:val="28"/>
      <w:szCs w:val="24"/>
    </w:rPr>
  </w:style>
  <w:style w:type="character" w:customStyle="1" w:styleId="273">
    <w:name w:val="正文文本 2 Char1"/>
    <w:basedOn w:val="231"/>
    <w:link w:val="76"/>
    <w:semiHidden/>
    <w:qFormat/>
    <w:uiPriority w:val="99"/>
    <w:rPr>
      <w:rFonts w:ascii="Times New Roman" w:hAnsi="Times New Roman" w:eastAsia="宋体" w:cs="Times New Roman"/>
      <w:szCs w:val="24"/>
    </w:rPr>
  </w:style>
  <w:style w:type="character" w:customStyle="1" w:styleId="274">
    <w:name w:val="日期 Char"/>
    <w:basedOn w:val="231"/>
    <w:link w:val="50"/>
    <w:qFormat/>
    <w:uiPriority w:val="99"/>
    <w:rPr>
      <w:rFonts w:ascii="Times New Roman" w:hAnsi="Times New Roman" w:eastAsia="宋体" w:cs="Times New Roman"/>
      <w:sz w:val="28"/>
      <w:szCs w:val="24"/>
    </w:rPr>
  </w:style>
  <w:style w:type="paragraph" w:customStyle="1" w:styleId="275">
    <w:name w:val="xl27"/>
    <w:basedOn w:val="1"/>
    <w:qFormat/>
    <w:uiPriority w:val="0"/>
    <w:pPr>
      <w:widowControl/>
      <w:pBdr>
        <w:bottom w:val="single" w:color="auto" w:sz="4" w:space="0"/>
        <w:right w:val="single" w:color="auto" w:sz="4" w:space="0"/>
      </w:pBdr>
      <w:spacing w:before="100" w:beforeAutospacing="1" w:after="100" w:afterAutospacing="1"/>
      <w:jc w:val="center"/>
    </w:pPr>
    <w:rPr>
      <w:rFonts w:eastAsia="Arial Unicode MS"/>
      <w:kern w:val="0"/>
    </w:rPr>
  </w:style>
  <w:style w:type="character" w:customStyle="1" w:styleId="276">
    <w:name w:val="页脚 Char1"/>
    <w:basedOn w:val="231"/>
    <w:link w:val="55"/>
    <w:semiHidden/>
    <w:qFormat/>
    <w:uiPriority w:val="99"/>
    <w:rPr>
      <w:rFonts w:ascii="Times New Roman" w:hAnsi="Times New Roman" w:eastAsia="宋体" w:cs="Times New Roman"/>
      <w:sz w:val="18"/>
      <w:szCs w:val="18"/>
    </w:rPr>
  </w:style>
  <w:style w:type="character" w:customStyle="1" w:styleId="277">
    <w:name w:val="页眉 Char"/>
    <w:basedOn w:val="231"/>
    <w:link w:val="57"/>
    <w:qFormat/>
    <w:uiPriority w:val="0"/>
    <w:rPr>
      <w:rFonts w:ascii="Times New Roman" w:hAnsi="Times New Roman" w:eastAsia="宋体" w:cs="Times New Roman"/>
      <w:sz w:val="18"/>
      <w:szCs w:val="24"/>
    </w:rPr>
  </w:style>
  <w:style w:type="character" w:customStyle="1" w:styleId="278">
    <w:name w:val="标题 Char1"/>
    <w:basedOn w:val="231"/>
    <w:qFormat/>
    <w:uiPriority w:val="10"/>
    <w:rPr>
      <w:rFonts w:eastAsia="宋体" w:asciiTheme="majorHAnsi" w:hAnsiTheme="majorHAnsi" w:cstheme="majorBidi"/>
      <w:b/>
      <w:bCs/>
      <w:sz w:val="32"/>
      <w:szCs w:val="32"/>
    </w:rPr>
  </w:style>
  <w:style w:type="paragraph" w:customStyle="1" w:styleId="279">
    <w:name w:val="表格"/>
    <w:basedOn w:val="1"/>
    <w:link w:val="301"/>
    <w:autoRedefine/>
    <w:qFormat/>
    <w:uiPriority w:val="0"/>
    <w:pPr>
      <w:jc w:val="center"/>
    </w:pPr>
    <w:rPr>
      <w:kern w:val="0"/>
    </w:rPr>
  </w:style>
  <w:style w:type="paragraph" w:customStyle="1" w:styleId="280">
    <w:name w:val="标准样式"/>
    <w:qFormat/>
    <w:uiPriority w:val="0"/>
    <w:pPr>
      <w:widowControl w:val="0"/>
      <w:spacing w:line="600" w:lineRule="exact"/>
      <w:ind w:firstLine="200" w:firstLineChars="200"/>
      <w:jc w:val="both"/>
    </w:pPr>
    <w:rPr>
      <w:rFonts w:ascii="Calibri" w:hAnsi="Calibri" w:eastAsia="宋体" w:cs="Times New Roman"/>
      <w:sz w:val="28"/>
      <w:lang w:val="en-US" w:eastAsia="zh-CN" w:bidi="ar-SA"/>
    </w:rPr>
  </w:style>
  <w:style w:type="paragraph" w:customStyle="1" w:styleId="281">
    <w:name w:val="样式 首行缩进:  2 字符"/>
    <w:basedOn w:val="1"/>
    <w:qFormat/>
    <w:uiPriority w:val="0"/>
    <w:rPr>
      <w:szCs w:val="20"/>
    </w:rPr>
  </w:style>
  <w:style w:type="paragraph" w:customStyle="1" w:styleId="282">
    <w:name w:val="Char Char1"/>
    <w:basedOn w:val="1"/>
    <w:semiHidden/>
    <w:qFormat/>
    <w:uiPriority w:val="0"/>
    <w:pPr>
      <w:spacing w:beforeLines="50" w:afterLines="50" w:line="480" w:lineRule="exact"/>
    </w:pPr>
    <w:rPr>
      <w:rFonts w:ascii="Tahoma" w:hAnsi="Tahoma"/>
      <w:szCs w:val="20"/>
    </w:rPr>
  </w:style>
  <w:style w:type="paragraph" w:customStyle="1" w:styleId="283">
    <w:name w:val="表格样式"/>
    <w:basedOn w:val="1"/>
    <w:autoRedefine/>
    <w:qFormat/>
    <w:uiPriority w:val="0"/>
    <w:pPr>
      <w:jc w:val="center"/>
    </w:pPr>
  </w:style>
  <w:style w:type="paragraph" w:customStyle="1" w:styleId="284">
    <w:name w:val="Char Char Char Char"/>
    <w:basedOn w:val="1"/>
    <w:qFormat/>
    <w:uiPriority w:val="0"/>
    <w:rPr>
      <w:rFonts w:ascii="宋体" w:hAnsi="宋体" w:cs="宋体"/>
    </w:rPr>
  </w:style>
  <w:style w:type="paragraph" w:customStyle="1" w:styleId="285">
    <w:name w:val="&quot;Balloon Text&quot;"/>
    <w:next w:val="4"/>
    <w:qFormat/>
    <w:uiPriority w:val="0"/>
    <w:pPr>
      <w:widowControl w:val="0"/>
      <w:jc w:val="both"/>
    </w:pPr>
    <w:rPr>
      <w:rFonts w:ascii="Calibri" w:hAnsi="Calibri" w:eastAsia="仿宋_GB2312" w:cs="Times New Roman"/>
      <w:kern w:val="2"/>
      <w:sz w:val="18"/>
      <w:lang w:val="en-US" w:eastAsia="zh-CN" w:bidi="ar-SA"/>
    </w:rPr>
  </w:style>
  <w:style w:type="paragraph" w:customStyle="1" w:styleId="286">
    <w:name w:val="默认段落字体 Para Char Char Char Char"/>
    <w:basedOn w:val="1"/>
    <w:qFormat/>
    <w:uiPriority w:val="0"/>
    <w:rPr>
      <w:spacing w:val="-2"/>
      <w:kern w:val="0"/>
    </w:rPr>
  </w:style>
  <w:style w:type="paragraph" w:customStyle="1" w:styleId="287">
    <w:name w:val="样式 标题3 + 首行缩进:  2 字符"/>
    <w:basedOn w:val="1"/>
    <w:qFormat/>
    <w:uiPriority w:val="0"/>
    <w:pPr>
      <w:spacing w:before="156" w:after="120"/>
      <w:ind w:firstLine="560"/>
      <w:outlineLvl w:val="0"/>
    </w:pPr>
  </w:style>
  <w:style w:type="paragraph" w:customStyle="1" w:styleId="288">
    <w:name w:val="表格头"/>
    <w:next w:val="1"/>
    <w:qFormat/>
    <w:uiPriority w:val="0"/>
    <w:pPr>
      <w:widowControl w:val="0"/>
      <w:spacing w:line="240" w:lineRule="atLeast"/>
      <w:jc w:val="center"/>
    </w:pPr>
    <w:rPr>
      <w:rFonts w:ascii="Calibri" w:hAnsi="Calibri" w:eastAsia="宋体" w:cs="Times New Roman"/>
      <w:b/>
      <w:sz w:val="28"/>
      <w:lang w:val="en-US" w:eastAsia="zh-CN" w:bidi="ar-SA"/>
    </w:rPr>
  </w:style>
  <w:style w:type="paragraph" w:customStyle="1" w:styleId="289">
    <w:name w:val="样式2"/>
    <w:basedOn w:val="3"/>
    <w:qFormat/>
    <w:uiPriority w:val="0"/>
    <w:pPr>
      <w:spacing w:before="100"/>
      <w:ind w:right="1134"/>
    </w:pPr>
    <w:rPr>
      <w:rFonts w:ascii="Times New Roman" w:hAnsi="Times New Roman"/>
      <w:color w:val="000000"/>
    </w:rPr>
  </w:style>
  <w:style w:type="paragraph" w:customStyle="1" w:styleId="290">
    <w:name w:val="xl51"/>
    <w:basedOn w:val="1"/>
    <w:qFormat/>
    <w:uiPriority w:val="0"/>
    <w:pPr>
      <w:widowControl/>
      <w:spacing w:before="100" w:beforeAutospacing="1" w:after="100" w:afterAutospacing="1"/>
      <w:jc w:val="center"/>
    </w:pPr>
    <w:rPr>
      <w:rFonts w:ascii="Arial Unicode MS" w:hAnsi="Arial Unicode MS" w:eastAsia="Arial Unicode MS" w:cs="Arial Unicode MS"/>
      <w:kern w:val="0"/>
      <w:szCs w:val="28"/>
    </w:rPr>
  </w:style>
  <w:style w:type="paragraph" w:customStyle="1" w:styleId="291">
    <w:name w:val="Char Char Char Char Char Char Char"/>
    <w:basedOn w:val="1"/>
    <w:qFormat/>
    <w:uiPriority w:val="0"/>
    <w:rPr>
      <w:spacing w:val="-2"/>
      <w:kern w:val="0"/>
    </w:rPr>
  </w:style>
  <w:style w:type="paragraph" w:customStyle="1" w:styleId="292">
    <w:name w:val="表头[BT]"/>
    <w:basedOn w:val="1"/>
    <w:qFormat/>
    <w:uiPriority w:val="0"/>
    <w:pPr>
      <w:spacing w:before="120" w:after="120"/>
      <w:jc w:val="center"/>
      <w:textAlignment w:val="baseline"/>
    </w:pPr>
    <w:rPr>
      <w:rFonts w:ascii="楷体_GB2312" w:eastAsia="楷体_GB2312"/>
      <w:kern w:val="0"/>
      <w:szCs w:val="20"/>
    </w:rPr>
  </w:style>
  <w:style w:type="paragraph" w:customStyle="1" w:styleId="293">
    <w:name w:val="地告正文"/>
    <w:basedOn w:val="1"/>
    <w:qFormat/>
    <w:uiPriority w:val="0"/>
    <w:pPr>
      <w:spacing w:line="620" w:lineRule="atLeast"/>
    </w:pPr>
    <w:rPr>
      <w:szCs w:val="21"/>
    </w:rPr>
  </w:style>
  <w:style w:type="paragraph" w:customStyle="1" w:styleId="294">
    <w:name w:val="CDL标题2"/>
    <w:qFormat/>
    <w:uiPriority w:val="0"/>
    <w:rPr>
      <w:rFonts w:ascii="黑体" w:hAnsi="Calibri" w:eastAsia="黑体" w:cs="宋体"/>
      <w:b/>
      <w:bCs/>
      <w:kern w:val="2"/>
      <w:sz w:val="28"/>
      <w:lang w:val="en-US" w:eastAsia="zh-CN" w:bidi="ar-SA"/>
    </w:rPr>
  </w:style>
  <w:style w:type="paragraph" w:customStyle="1" w:styleId="295">
    <w:name w:val="TOC 标题1"/>
    <w:basedOn w:val="3"/>
    <w:next w:val="1"/>
    <w:unhideWhenUsed/>
    <w:qFormat/>
    <w:uiPriority w:val="39"/>
    <w:pPr>
      <w:keepLines/>
      <w:widowControl/>
      <w:spacing w:before="480" w:line="276" w:lineRule="auto"/>
      <w:outlineLvl w:val="9"/>
    </w:pPr>
    <w:rPr>
      <w:rFonts w:asciiTheme="majorHAnsi" w:hAnsiTheme="majorHAnsi" w:eastAsiaTheme="majorEastAsia" w:cstheme="majorBidi"/>
      <w:b w:val="0"/>
      <w:bCs/>
      <w:color w:val="366091" w:themeColor="accent1" w:themeShade="BF"/>
      <w:kern w:val="0"/>
      <w:szCs w:val="28"/>
    </w:rPr>
  </w:style>
  <w:style w:type="paragraph" w:styleId="296">
    <w:name w:val="No Spacing"/>
    <w:basedOn w:val="1"/>
    <w:link w:val="310"/>
    <w:qFormat/>
    <w:uiPriority w:val="1"/>
    <w:pPr>
      <w:spacing w:line="240" w:lineRule="auto"/>
      <w:ind w:firstLine="0" w:firstLineChars="0"/>
      <w:jc w:val="center"/>
    </w:pPr>
    <w:rPr>
      <w:rFonts w:cs="宋体"/>
      <w:spacing w:val="2"/>
      <w:kern w:val="0"/>
      <w:szCs w:val="32"/>
    </w:rPr>
  </w:style>
  <w:style w:type="paragraph" w:customStyle="1" w:styleId="297">
    <w:name w:val="样式 标题 2 + 行距: 1.5 倍行距"/>
    <w:basedOn w:val="4"/>
    <w:qFormat/>
    <w:uiPriority w:val="0"/>
    <w:rPr>
      <w:sz w:val="30"/>
    </w:rPr>
  </w:style>
  <w:style w:type="paragraph" w:customStyle="1" w:styleId="298">
    <w:name w:val="表2"/>
    <w:basedOn w:val="283"/>
    <w:qFormat/>
    <w:uiPriority w:val="0"/>
  </w:style>
  <w:style w:type="paragraph" w:customStyle="1" w:styleId="299">
    <w:name w:val="三级目录"/>
    <w:basedOn w:val="1"/>
    <w:qFormat/>
    <w:uiPriority w:val="0"/>
    <w:pPr>
      <w:outlineLvl w:val="2"/>
    </w:pPr>
    <w:rPr>
      <w:b/>
      <w:szCs w:val="28"/>
    </w:rPr>
  </w:style>
  <w:style w:type="paragraph" w:styleId="300">
    <w:name w:val="List Paragraph"/>
    <w:basedOn w:val="1"/>
    <w:unhideWhenUsed/>
    <w:qFormat/>
    <w:uiPriority w:val="34"/>
    <w:pPr>
      <w:spacing w:line="240" w:lineRule="auto"/>
      <w:ind w:firstLine="420"/>
    </w:pPr>
  </w:style>
  <w:style w:type="character" w:customStyle="1" w:styleId="301">
    <w:name w:val="表格 Char"/>
    <w:link w:val="279"/>
    <w:qFormat/>
    <w:uiPriority w:val="0"/>
    <w:rPr>
      <w:sz w:val="24"/>
      <w:szCs w:val="24"/>
    </w:rPr>
  </w:style>
  <w:style w:type="character" w:customStyle="1" w:styleId="302">
    <w:name w:val="正文缩进 Char"/>
    <w:link w:val="21"/>
    <w:qFormat/>
    <w:uiPriority w:val="0"/>
    <w:rPr>
      <w:kern w:val="2"/>
      <w:sz w:val="21"/>
      <w:szCs w:val="24"/>
    </w:rPr>
  </w:style>
  <w:style w:type="character" w:customStyle="1" w:styleId="303">
    <w:name w:val="正文缩进 字符"/>
    <w:qFormat/>
    <w:uiPriority w:val="0"/>
    <w:rPr>
      <w:rFonts w:eastAsia="宋体"/>
      <w:sz w:val="24"/>
      <w:szCs w:val="24"/>
    </w:rPr>
  </w:style>
  <w:style w:type="character" w:customStyle="1" w:styleId="304">
    <w:name w:val="文本 Char"/>
    <w:link w:val="305"/>
    <w:qFormat/>
    <w:uiPriority w:val="0"/>
    <w:rPr>
      <w:rFonts w:ascii="仿宋_GB2312" w:hAnsi="宋体" w:eastAsia="仿宋_GB2312"/>
      <w:color w:val="993300"/>
      <w:kern w:val="2"/>
      <w:sz w:val="24"/>
      <w:szCs w:val="24"/>
    </w:rPr>
  </w:style>
  <w:style w:type="paragraph" w:customStyle="1" w:styleId="305">
    <w:name w:val="文本"/>
    <w:basedOn w:val="86"/>
    <w:link w:val="304"/>
    <w:qFormat/>
    <w:uiPriority w:val="0"/>
    <w:pPr>
      <w:ind w:firstLine="100"/>
    </w:pPr>
    <w:rPr>
      <w:rFonts w:hAnsi="宋体"/>
      <w:color w:val="993300"/>
      <w:sz w:val="24"/>
    </w:rPr>
  </w:style>
  <w:style w:type="paragraph" w:customStyle="1" w:styleId="306">
    <w:name w:val="图内表加粗样式"/>
    <w:basedOn w:val="1"/>
    <w:qFormat/>
    <w:uiPriority w:val="0"/>
    <w:pPr>
      <w:ind w:firstLine="0" w:firstLineChars="0"/>
    </w:pPr>
    <w:rPr>
      <w:b/>
      <w:szCs w:val="21"/>
    </w:rPr>
  </w:style>
  <w:style w:type="character" w:customStyle="1" w:styleId="307">
    <w:name w:val="标题 4 Char"/>
    <w:link w:val="6"/>
    <w:qFormat/>
    <w:uiPriority w:val="9"/>
    <w:rPr>
      <w:rFonts w:ascii="仿宋_GB2312" w:hAnsi="仿宋_GB2312" w:eastAsia="仿宋_GB2312" w:cs="仿宋_GB2312"/>
      <w:sz w:val="24"/>
      <w:szCs w:val="28"/>
    </w:rPr>
  </w:style>
  <w:style w:type="character" w:customStyle="1" w:styleId="308">
    <w:name w:val="标题 5 Char"/>
    <w:link w:val="7"/>
    <w:qFormat/>
    <w:uiPriority w:val="9"/>
    <w:rPr>
      <w:rFonts w:ascii="仿宋_GB2312" w:eastAsia="仿宋_GB2312"/>
      <w:bCs/>
      <w:iCs/>
      <w:sz w:val="24"/>
      <w:szCs w:val="26"/>
    </w:rPr>
  </w:style>
  <w:style w:type="character" w:customStyle="1" w:styleId="309">
    <w:name w:val="副标题 Char"/>
    <w:link w:val="64"/>
    <w:qFormat/>
    <w:uiPriority w:val="11"/>
    <w:rPr>
      <w:rFonts w:ascii="仿宋_GB2312" w:hAnsi="Cambria" w:eastAsia="仿宋_GB2312"/>
      <w:b/>
      <w:sz w:val="44"/>
      <w:szCs w:val="24"/>
    </w:rPr>
  </w:style>
  <w:style w:type="character" w:customStyle="1" w:styleId="310">
    <w:name w:val="无间隔 Char"/>
    <w:link w:val="296"/>
    <w:autoRedefine/>
    <w:qFormat/>
    <w:uiPriority w:val="1"/>
    <w:rPr>
      <w:rFonts w:ascii="仿宋_GB2312" w:eastAsia="仿宋_GB2312" w:cs="宋体"/>
      <w:spacing w:val="2"/>
      <w:sz w:val="24"/>
      <w:szCs w:val="32"/>
    </w:rPr>
  </w:style>
  <w:style w:type="paragraph" w:customStyle="1" w:styleId="311">
    <w:name w:val="TOC Heading"/>
    <w:basedOn w:val="3"/>
    <w:next w:val="1"/>
    <w:semiHidden/>
    <w:unhideWhenUsed/>
    <w:qFormat/>
    <w:uiPriority w:val="39"/>
    <w:pPr>
      <w:outlineLvl w:val="9"/>
    </w:pPr>
  </w:style>
  <w:style w:type="paragraph" w:customStyle="1" w:styleId="312">
    <w:name w:val="LW正文"/>
    <w:basedOn w:val="1"/>
    <w:link w:val="313"/>
    <w:qFormat/>
    <w:uiPriority w:val="0"/>
    <w:pPr>
      <w:autoSpaceDE w:val="0"/>
      <w:autoSpaceDN w:val="0"/>
      <w:spacing w:line="440" w:lineRule="atLeast"/>
      <w:textAlignment w:val="baseline"/>
    </w:pPr>
    <w:rPr>
      <w:rFonts w:ascii="宋体" w:hAnsi="宋体" w:eastAsia="宋体" w:cstheme="minorBidi"/>
      <w:spacing w:val="10"/>
      <w:kern w:val="0"/>
      <w:szCs w:val="22"/>
    </w:rPr>
  </w:style>
  <w:style w:type="character" w:customStyle="1" w:styleId="313">
    <w:name w:val="LW正文 Char"/>
    <w:basedOn w:val="231"/>
    <w:link w:val="312"/>
    <w:qFormat/>
    <w:uiPriority w:val="0"/>
    <w:rPr>
      <w:rFonts w:ascii="宋体" w:hAnsi="宋体" w:cstheme="minorBidi"/>
      <w:spacing w:val="10"/>
      <w:sz w:val="24"/>
      <w:szCs w:val="22"/>
    </w:rPr>
  </w:style>
  <w:style w:type="paragraph" w:customStyle="1" w:styleId="314">
    <w:name w:val="LW正文1"/>
    <w:basedOn w:val="1"/>
    <w:next w:val="312"/>
    <w:link w:val="369"/>
    <w:qFormat/>
    <w:uiPriority w:val="0"/>
    <w:pPr>
      <w:numPr>
        <w:ilvl w:val="4"/>
        <w:numId w:val="11"/>
      </w:numPr>
      <w:autoSpaceDE w:val="0"/>
      <w:autoSpaceDN w:val="0"/>
      <w:spacing w:line="440" w:lineRule="atLeast"/>
      <w:ind w:firstLineChars="0"/>
      <w:textAlignment w:val="baseline"/>
      <w:outlineLvl w:val="4"/>
    </w:pPr>
    <w:rPr>
      <w:rFonts w:ascii="宋体" w:hAnsi="宋体" w:eastAsia="宋体" w:cstheme="minorBidi"/>
      <w:spacing w:val="10"/>
      <w:kern w:val="0"/>
      <w:szCs w:val="22"/>
    </w:rPr>
  </w:style>
  <w:style w:type="paragraph" w:customStyle="1" w:styleId="315">
    <w:name w:val="LW正文2"/>
    <w:basedOn w:val="1"/>
    <w:next w:val="312"/>
    <w:link w:val="370"/>
    <w:qFormat/>
    <w:uiPriority w:val="0"/>
    <w:pPr>
      <w:numPr>
        <w:ilvl w:val="5"/>
        <w:numId w:val="11"/>
      </w:numPr>
      <w:autoSpaceDE w:val="0"/>
      <w:autoSpaceDN w:val="0"/>
      <w:spacing w:line="440" w:lineRule="atLeast"/>
      <w:ind w:firstLineChars="0"/>
      <w:textAlignment w:val="baseline"/>
      <w:outlineLvl w:val="5"/>
    </w:pPr>
    <w:rPr>
      <w:rFonts w:ascii="宋体" w:hAnsi="宋体" w:eastAsia="宋体" w:cstheme="minorBidi"/>
      <w:spacing w:val="10"/>
      <w:kern w:val="0"/>
      <w:szCs w:val="22"/>
    </w:rPr>
  </w:style>
  <w:style w:type="paragraph" w:customStyle="1" w:styleId="316">
    <w:name w:val="LW正文3"/>
    <w:basedOn w:val="1"/>
    <w:next w:val="312"/>
    <w:link w:val="371"/>
    <w:qFormat/>
    <w:uiPriority w:val="0"/>
    <w:pPr>
      <w:numPr>
        <w:ilvl w:val="6"/>
        <w:numId w:val="11"/>
      </w:numPr>
      <w:autoSpaceDE w:val="0"/>
      <w:autoSpaceDN w:val="0"/>
      <w:spacing w:line="440" w:lineRule="atLeast"/>
      <w:ind w:firstLineChars="0"/>
      <w:textAlignment w:val="baseline"/>
      <w:outlineLvl w:val="6"/>
    </w:pPr>
    <w:rPr>
      <w:rFonts w:ascii="宋体" w:hAnsi="宋体" w:eastAsia="宋体" w:cstheme="minorBidi"/>
      <w:spacing w:val="10"/>
      <w:kern w:val="0"/>
      <w:szCs w:val="22"/>
    </w:rPr>
  </w:style>
  <w:style w:type="paragraph" w:customStyle="1" w:styleId="317">
    <w:name w:val="LW正文4"/>
    <w:basedOn w:val="1"/>
    <w:next w:val="312"/>
    <w:link w:val="372"/>
    <w:qFormat/>
    <w:uiPriority w:val="0"/>
    <w:pPr>
      <w:numPr>
        <w:ilvl w:val="7"/>
        <w:numId w:val="11"/>
      </w:numPr>
      <w:autoSpaceDE w:val="0"/>
      <w:autoSpaceDN w:val="0"/>
      <w:spacing w:line="440" w:lineRule="atLeast"/>
      <w:ind w:firstLine="200"/>
      <w:textAlignment w:val="baseline"/>
      <w:outlineLvl w:val="7"/>
    </w:pPr>
    <w:rPr>
      <w:rFonts w:ascii="宋体" w:hAnsi="宋体" w:eastAsia="宋体" w:cstheme="minorBidi"/>
      <w:spacing w:val="10"/>
      <w:kern w:val="0"/>
      <w:szCs w:val="22"/>
    </w:rPr>
  </w:style>
  <w:style w:type="paragraph" w:customStyle="1" w:styleId="318">
    <w:name w:val="LW正文5"/>
    <w:basedOn w:val="1"/>
    <w:next w:val="312"/>
    <w:link w:val="373"/>
    <w:qFormat/>
    <w:uiPriority w:val="0"/>
    <w:pPr>
      <w:numPr>
        <w:ilvl w:val="8"/>
        <w:numId w:val="11"/>
      </w:numPr>
      <w:autoSpaceDE w:val="0"/>
      <w:autoSpaceDN w:val="0"/>
      <w:spacing w:line="440" w:lineRule="atLeast"/>
      <w:ind w:firstLine="200"/>
      <w:textAlignment w:val="baseline"/>
      <w:outlineLvl w:val="8"/>
    </w:pPr>
    <w:rPr>
      <w:rFonts w:ascii="宋体" w:hAnsi="宋体" w:eastAsia="宋体" w:cstheme="minorBidi"/>
      <w:spacing w:val="10"/>
      <w:kern w:val="0"/>
      <w:szCs w:val="22"/>
    </w:rPr>
  </w:style>
  <w:style w:type="paragraph" w:customStyle="1" w:styleId="319">
    <w:name w:val="LW标题1"/>
    <w:basedOn w:val="1"/>
    <w:next w:val="312"/>
    <w:link w:val="376"/>
    <w:qFormat/>
    <w:uiPriority w:val="0"/>
    <w:pPr>
      <w:numPr>
        <w:ilvl w:val="0"/>
        <w:numId w:val="11"/>
      </w:numPr>
      <w:wordWrap w:val="0"/>
      <w:autoSpaceDE w:val="0"/>
      <w:autoSpaceDN w:val="0"/>
      <w:spacing w:before="320" w:line="480" w:lineRule="atLeast"/>
      <w:ind w:firstLineChars="0"/>
      <w:jc w:val="left"/>
      <w:textAlignment w:val="baseline"/>
      <w:outlineLvl w:val="0"/>
    </w:pPr>
    <w:rPr>
      <w:rFonts w:ascii="宋体" w:hAnsi="宋体" w:eastAsia="宋体" w:cstheme="minorBidi"/>
      <w:b/>
      <w:spacing w:val="10"/>
      <w:kern w:val="0"/>
      <w:szCs w:val="22"/>
    </w:rPr>
  </w:style>
  <w:style w:type="paragraph" w:customStyle="1" w:styleId="320">
    <w:name w:val="LW标题2"/>
    <w:basedOn w:val="1"/>
    <w:next w:val="312"/>
    <w:link w:val="377"/>
    <w:qFormat/>
    <w:uiPriority w:val="0"/>
    <w:pPr>
      <w:numPr>
        <w:ilvl w:val="1"/>
        <w:numId w:val="11"/>
      </w:numPr>
      <w:wordWrap w:val="0"/>
      <w:autoSpaceDE w:val="0"/>
      <w:autoSpaceDN w:val="0"/>
      <w:spacing w:before="240" w:line="480" w:lineRule="atLeast"/>
      <w:ind w:left="0" w:firstLineChars="0"/>
      <w:jc w:val="left"/>
      <w:textAlignment w:val="baseline"/>
      <w:outlineLvl w:val="1"/>
    </w:pPr>
    <w:rPr>
      <w:rFonts w:ascii="宋体" w:hAnsi="宋体" w:cstheme="minorBidi"/>
      <w:b/>
      <w:spacing w:val="10"/>
      <w:kern w:val="0"/>
      <w:szCs w:val="22"/>
    </w:rPr>
  </w:style>
  <w:style w:type="paragraph" w:customStyle="1" w:styleId="321">
    <w:name w:val="LW标题3"/>
    <w:basedOn w:val="1"/>
    <w:next w:val="312"/>
    <w:link w:val="322"/>
    <w:qFormat/>
    <w:uiPriority w:val="0"/>
    <w:pPr>
      <w:numPr>
        <w:ilvl w:val="2"/>
        <w:numId w:val="11"/>
      </w:numPr>
      <w:wordWrap w:val="0"/>
      <w:autoSpaceDE w:val="0"/>
      <w:autoSpaceDN w:val="0"/>
      <w:spacing w:before="160" w:line="480" w:lineRule="atLeast"/>
      <w:ind w:firstLineChars="0"/>
      <w:jc w:val="left"/>
      <w:textAlignment w:val="baseline"/>
      <w:outlineLvl w:val="2"/>
    </w:pPr>
    <w:rPr>
      <w:rFonts w:ascii="宋体" w:hAnsi="宋体" w:cstheme="minorBidi"/>
      <w:b/>
      <w:spacing w:val="10"/>
      <w:kern w:val="0"/>
      <w:szCs w:val="22"/>
    </w:rPr>
  </w:style>
  <w:style w:type="character" w:customStyle="1" w:styleId="322">
    <w:name w:val="LW标题3 Char"/>
    <w:basedOn w:val="231"/>
    <w:link w:val="321"/>
    <w:qFormat/>
    <w:uiPriority w:val="0"/>
    <w:rPr>
      <w:rFonts w:ascii="宋体" w:hAnsi="宋体" w:eastAsia="仿宋_GB2312" w:cstheme="minorBidi"/>
      <w:b/>
      <w:spacing w:val="10"/>
      <w:sz w:val="28"/>
      <w:szCs w:val="22"/>
    </w:rPr>
  </w:style>
  <w:style w:type="paragraph" w:customStyle="1" w:styleId="323">
    <w:name w:val="LW标题4"/>
    <w:basedOn w:val="1"/>
    <w:next w:val="312"/>
    <w:link w:val="378"/>
    <w:qFormat/>
    <w:uiPriority w:val="0"/>
    <w:pPr>
      <w:numPr>
        <w:ilvl w:val="3"/>
        <w:numId w:val="11"/>
      </w:numPr>
      <w:wordWrap w:val="0"/>
      <w:autoSpaceDE w:val="0"/>
      <w:autoSpaceDN w:val="0"/>
      <w:spacing w:before="80" w:line="480" w:lineRule="atLeast"/>
      <w:ind w:firstLineChars="0"/>
      <w:jc w:val="left"/>
      <w:textAlignment w:val="baseline"/>
      <w:outlineLvl w:val="3"/>
    </w:pPr>
    <w:rPr>
      <w:rFonts w:ascii="宋体" w:hAnsi="宋体" w:eastAsia="宋体" w:cstheme="minorBidi"/>
      <w:b/>
      <w:spacing w:val="10"/>
      <w:kern w:val="0"/>
      <w:szCs w:val="22"/>
    </w:rPr>
  </w:style>
  <w:style w:type="paragraph" w:customStyle="1" w:styleId="324">
    <w:name w:val="0正文"/>
    <w:basedOn w:val="84"/>
    <w:next w:val="1"/>
    <w:qFormat/>
    <w:uiPriority w:val="0"/>
    <w:pPr>
      <w:adjustRightInd/>
      <w:snapToGrid/>
      <w:jc w:val="both"/>
      <w:outlineLvl w:val="9"/>
    </w:pPr>
    <w:rPr>
      <w:rFonts w:hAnsi="仿宋_GB2312"/>
      <w:b w:val="0"/>
      <w:bCs/>
      <w:spacing w:val="0"/>
      <w:kern w:val="2"/>
      <w:sz w:val="28"/>
      <w:szCs w:val="32"/>
    </w:rPr>
  </w:style>
  <w:style w:type="paragraph" w:customStyle="1" w:styleId="325">
    <w:name w:val="LW表标题"/>
    <w:basedOn w:val="1"/>
    <w:next w:val="312"/>
    <w:link w:val="326"/>
    <w:qFormat/>
    <w:uiPriority w:val="0"/>
    <w:pPr>
      <w:keepNext/>
      <w:wordWrap w:val="0"/>
      <w:autoSpaceDE w:val="0"/>
      <w:autoSpaceDN w:val="0"/>
      <w:spacing w:line="360" w:lineRule="atLeast"/>
      <w:ind w:firstLine="0" w:firstLineChars="0"/>
      <w:jc w:val="center"/>
      <w:textAlignment w:val="baseline"/>
    </w:pPr>
    <w:rPr>
      <w:rFonts w:ascii="宋体" w:hAnsi="宋体" w:eastAsia="宋体" w:cstheme="minorBidi"/>
      <w:b/>
      <w:spacing w:val="10"/>
      <w:kern w:val="0"/>
      <w:sz w:val="21"/>
      <w:szCs w:val="22"/>
    </w:rPr>
  </w:style>
  <w:style w:type="character" w:customStyle="1" w:styleId="326">
    <w:name w:val="LW表标题 Char"/>
    <w:basedOn w:val="231"/>
    <w:link w:val="325"/>
    <w:qFormat/>
    <w:uiPriority w:val="0"/>
    <w:rPr>
      <w:rFonts w:ascii="宋体" w:hAnsi="宋体" w:cstheme="minorBidi"/>
      <w:b/>
      <w:spacing w:val="10"/>
      <w:sz w:val="21"/>
      <w:szCs w:val="22"/>
    </w:rPr>
  </w:style>
  <w:style w:type="paragraph" w:customStyle="1" w:styleId="327">
    <w:name w:val="Table Paragraph"/>
    <w:basedOn w:val="1"/>
    <w:qFormat/>
    <w:uiPriority w:val="1"/>
    <w:pPr>
      <w:adjustRightInd/>
      <w:snapToGrid/>
      <w:spacing w:line="240" w:lineRule="auto"/>
      <w:ind w:firstLine="0" w:firstLineChars="0"/>
      <w:jc w:val="left"/>
    </w:pPr>
    <w:rPr>
      <w:rFonts w:asciiTheme="minorHAnsi" w:hAnsiTheme="minorHAnsi" w:eastAsiaTheme="minorEastAsia" w:cstheme="minorBidi"/>
      <w:kern w:val="0"/>
      <w:sz w:val="22"/>
      <w:szCs w:val="22"/>
      <w:lang w:eastAsia="en-US"/>
    </w:rPr>
  </w:style>
  <w:style w:type="paragraph" w:customStyle="1" w:styleId="328">
    <w:name w:val="font5"/>
    <w:basedOn w:val="1"/>
    <w:qFormat/>
    <w:uiPriority w:val="0"/>
    <w:pPr>
      <w:widowControl/>
      <w:adjustRightInd/>
      <w:snapToGrid/>
      <w:spacing w:before="100" w:beforeAutospacing="1" w:after="100" w:afterAutospacing="1" w:line="240" w:lineRule="auto"/>
      <w:ind w:firstLine="0" w:firstLineChars="0"/>
      <w:jc w:val="left"/>
    </w:pPr>
    <w:rPr>
      <w:rFonts w:ascii="宋体" w:hAnsi="宋体" w:eastAsia="宋体" w:cs="宋体"/>
      <w:color w:val="000000"/>
      <w:kern w:val="0"/>
      <w:sz w:val="22"/>
      <w:szCs w:val="22"/>
    </w:rPr>
  </w:style>
  <w:style w:type="paragraph" w:customStyle="1" w:styleId="329">
    <w:name w:val="font6"/>
    <w:basedOn w:val="1"/>
    <w:qFormat/>
    <w:uiPriority w:val="0"/>
    <w:pPr>
      <w:widowControl/>
      <w:adjustRightInd/>
      <w:snapToGrid/>
      <w:spacing w:before="100" w:beforeAutospacing="1" w:after="100" w:afterAutospacing="1" w:line="240" w:lineRule="auto"/>
      <w:ind w:firstLine="0" w:firstLineChars="0"/>
      <w:jc w:val="left"/>
    </w:pPr>
    <w:rPr>
      <w:rFonts w:ascii="宋体" w:hAnsi="宋体" w:eastAsia="宋体" w:cs="宋体"/>
      <w:b/>
      <w:bCs/>
      <w:color w:val="000000"/>
      <w:kern w:val="0"/>
      <w:sz w:val="22"/>
      <w:szCs w:val="22"/>
    </w:rPr>
  </w:style>
  <w:style w:type="paragraph" w:customStyle="1" w:styleId="330">
    <w:name w:val="font7"/>
    <w:basedOn w:val="1"/>
    <w:qFormat/>
    <w:uiPriority w:val="0"/>
    <w:pPr>
      <w:widowControl/>
      <w:adjustRightInd/>
      <w:snapToGrid/>
      <w:spacing w:before="100" w:beforeAutospacing="1" w:after="100" w:afterAutospacing="1" w:line="240" w:lineRule="auto"/>
      <w:ind w:firstLine="0" w:firstLineChars="0"/>
      <w:jc w:val="left"/>
    </w:pPr>
    <w:rPr>
      <w:rFonts w:ascii="宋体" w:hAnsi="宋体" w:eastAsia="宋体" w:cs="宋体"/>
      <w:kern w:val="0"/>
      <w:sz w:val="18"/>
      <w:szCs w:val="18"/>
    </w:rPr>
  </w:style>
  <w:style w:type="paragraph" w:customStyle="1" w:styleId="331">
    <w:name w:val="font8"/>
    <w:basedOn w:val="1"/>
    <w:qFormat/>
    <w:uiPriority w:val="0"/>
    <w:pPr>
      <w:widowControl/>
      <w:adjustRightInd/>
      <w:snapToGrid/>
      <w:spacing w:before="100" w:beforeAutospacing="1" w:after="100" w:afterAutospacing="1" w:line="240" w:lineRule="auto"/>
      <w:ind w:firstLine="0" w:firstLineChars="0"/>
      <w:jc w:val="left"/>
    </w:pPr>
    <w:rPr>
      <w:rFonts w:ascii="宋体" w:hAnsi="宋体" w:eastAsia="宋体" w:cs="宋体"/>
      <w:color w:val="000000"/>
      <w:kern w:val="0"/>
      <w:sz w:val="22"/>
      <w:szCs w:val="22"/>
    </w:rPr>
  </w:style>
  <w:style w:type="paragraph" w:customStyle="1" w:styleId="332">
    <w:name w:val="xl65"/>
    <w:basedOn w:val="1"/>
    <w:qFormat/>
    <w:uiPriority w:val="0"/>
    <w:pPr>
      <w:widowControl/>
      <w:pBdr>
        <w:top w:val="single" w:color="auto" w:sz="4" w:space="0"/>
        <w:left w:val="single" w:color="auto" w:sz="4" w:space="0"/>
        <w:bottom w:val="single" w:color="auto" w:sz="4" w:space="0"/>
      </w:pBdr>
      <w:adjustRightInd/>
      <w:snapToGrid/>
      <w:spacing w:before="100" w:beforeAutospacing="1" w:after="100" w:afterAutospacing="1" w:line="240" w:lineRule="auto"/>
      <w:ind w:firstLine="0" w:firstLineChars="0"/>
      <w:jc w:val="center"/>
    </w:pPr>
    <w:rPr>
      <w:rFonts w:ascii="宋体" w:hAnsi="宋体" w:eastAsia="宋体" w:cs="宋体"/>
      <w:b/>
      <w:bCs/>
      <w:kern w:val="0"/>
    </w:rPr>
  </w:style>
  <w:style w:type="paragraph" w:customStyle="1" w:styleId="333">
    <w:name w:val="xl66"/>
    <w:basedOn w:val="1"/>
    <w:qFormat/>
    <w:uiPriority w:val="0"/>
    <w:pPr>
      <w:widowControl/>
      <w:pBdr>
        <w:top w:val="single" w:color="auto" w:sz="4" w:space="0"/>
        <w:bottom w:val="single" w:color="auto" w:sz="4" w:space="0"/>
      </w:pBdr>
      <w:adjustRightInd/>
      <w:snapToGrid/>
      <w:spacing w:before="100" w:beforeAutospacing="1" w:after="100" w:afterAutospacing="1" w:line="240" w:lineRule="auto"/>
      <w:ind w:firstLine="0" w:firstLineChars="0"/>
      <w:jc w:val="center"/>
    </w:pPr>
    <w:rPr>
      <w:rFonts w:ascii="宋体" w:hAnsi="宋体" w:eastAsia="宋体" w:cs="宋体"/>
      <w:b/>
      <w:bCs/>
      <w:kern w:val="0"/>
    </w:rPr>
  </w:style>
  <w:style w:type="paragraph" w:customStyle="1" w:styleId="334">
    <w:name w:val="xl67"/>
    <w:basedOn w:val="1"/>
    <w:qFormat/>
    <w:uiPriority w:val="0"/>
    <w:pPr>
      <w:widowControl/>
      <w:pBdr>
        <w:top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eastAsia="宋体" w:cs="宋体"/>
      <w:b/>
      <w:bCs/>
      <w:kern w:val="0"/>
    </w:rPr>
  </w:style>
  <w:style w:type="paragraph" w:customStyle="1" w:styleId="335">
    <w:name w:val="xl68"/>
    <w:basedOn w:val="1"/>
    <w:qFormat/>
    <w:uiPriority w:val="0"/>
    <w:pPr>
      <w:widowControl/>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eastAsia="宋体" w:cs="宋体"/>
      <w:b/>
      <w:bCs/>
      <w:kern w:val="0"/>
    </w:rPr>
  </w:style>
  <w:style w:type="paragraph" w:customStyle="1" w:styleId="336">
    <w:name w:val="xl69"/>
    <w:basedOn w:val="1"/>
    <w:qFormat/>
    <w:uiPriority w:val="0"/>
    <w:pPr>
      <w:widowControl/>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eastAsia="宋体" w:cs="宋体"/>
      <w:kern w:val="0"/>
    </w:rPr>
  </w:style>
  <w:style w:type="paragraph" w:customStyle="1" w:styleId="337">
    <w:name w:val="xl70"/>
    <w:basedOn w:val="1"/>
    <w:qFormat/>
    <w:uiPriority w:val="0"/>
    <w:pPr>
      <w:widowControl/>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eastAsia="宋体" w:cs="宋体"/>
      <w:color w:val="000000"/>
      <w:kern w:val="0"/>
    </w:rPr>
  </w:style>
  <w:style w:type="paragraph" w:customStyle="1" w:styleId="338">
    <w:name w:val="xl71"/>
    <w:basedOn w:val="1"/>
    <w:qFormat/>
    <w:uiPriority w:val="0"/>
    <w:pPr>
      <w:widowControl/>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eastAsia="宋体" w:cs="宋体"/>
      <w:color w:val="000000"/>
      <w:kern w:val="0"/>
    </w:rPr>
  </w:style>
  <w:style w:type="paragraph" w:customStyle="1" w:styleId="339">
    <w:name w:val="xl72"/>
    <w:basedOn w:val="1"/>
    <w:qFormat/>
    <w:uiPriority w:val="0"/>
    <w:pPr>
      <w:widowControl/>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eastAsia="宋体" w:cs="宋体"/>
      <w:b/>
      <w:bCs/>
      <w:color w:val="000000"/>
      <w:kern w:val="0"/>
    </w:rPr>
  </w:style>
  <w:style w:type="paragraph" w:customStyle="1" w:styleId="340">
    <w:name w:val="xl73"/>
    <w:basedOn w:val="1"/>
    <w:qFormat/>
    <w:uiPriority w:val="0"/>
    <w:pPr>
      <w:widowControl/>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eastAsia="宋体" w:cs="宋体"/>
      <w:b/>
      <w:bCs/>
      <w:color w:val="000000"/>
      <w:kern w:val="0"/>
    </w:rPr>
  </w:style>
  <w:style w:type="paragraph" w:customStyle="1" w:styleId="341">
    <w:name w:val="xl74"/>
    <w:basedOn w:val="1"/>
    <w:qFormat/>
    <w:uiPriority w:val="0"/>
    <w:pPr>
      <w:widowControl/>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eastAsia="宋体" w:cs="宋体"/>
      <w:kern w:val="0"/>
    </w:rPr>
  </w:style>
  <w:style w:type="character" w:customStyle="1" w:styleId="342">
    <w:name w:val="标题 6 Char"/>
    <w:basedOn w:val="231"/>
    <w:link w:val="8"/>
    <w:qFormat/>
    <w:uiPriority w:val="9"/>
    <w:rPr>
      <w:rFonts w:asciiTheme="minorHAnsi" w:hAnsiTheme="minorHAnsi" w:eastAsiaTheme="minorEastAsia" w:cstheme="minorBidi"/>
      <w:b/>
      <w:bCs/>
      <w:sz w:val="22"/>
      <w:szCs w:val="22"/>
    </w:rPr>
  </w:style>
  <w:style w:type="character" w:customStyle="1" w:styleId="343">
    <w:name w:val="标题 7 Char"/>
    <w:basedOn w:val="231"/>
    <w:link w:val="9"/>
    <w:qFormat/>
    <w:uiPriority w:val="9"/>
    <w:rPr>
      <w:rFonts w:asciiTheme="minorHAnsi" w:hAnsiTheme="minorHAnsi" w:eastAsiaTheme="minorEastAsia" w:cstheme="minorBidi"/>
      <w:sz w:val="24"/>
      <w:szCs w:val="24"/>
    </w:rPr>
  </w:style>
  <w:style w:type="character" w:customStyle="1" w:styleId="344">
    <w:name w:val="标题 8 Char"/>
    <w:basedOn w:val="231"/>
    <w:link w:val="10"/>
    <w:qFormat/>
    <w:uiPriority w:val="9"/>
    <w:rPr>
      <w:rFonts w:asciiTheme="minorHAnsi" w:hAnsiTheme="minorHAnsi" w:eastAsiaTheme="minorEastAsia" w:cstheme="minorBidi"/>
      <w:i/>
      <w:iCs/>
      <w:sz w:val="24"/>
      <w:szCs w:val="24"/>
    </w:rPr>
  </w:style>
  <w:style w:type="character" w:customStyle="1" w:styleId="345">
    <w:name w:val="标题 9 Char"/>
    <w:basedOn w:val="231"/>
    <w:link w:val="11"/>
    <w:autoRedefine/>
    <w:qFormat/>
    <w:uiPriority w:val="9"/>
    <w:rPr>
      <w:rFonts w:asciiTheme="majorHAnsi" w:hAnsiTheme="majorHAnsi" w:eastAsiaTheme="majorEastAsia" w:cstheme="minorBidi"/>
      <w:sz w:val="22"/>
      <w:szCs w:val="22"/>
    </w:rPr>
  </w:style>
  <w:style w:type="paragraph" w:styleId="346">
    <w:name w:val="Quote"/>
    <w:basedOn w:val="1"/>
    <w:next w:val="1"/>
    <w:link w:val="347"/>
    <w:qFormat/>
    <w:uiPriority w:val="29"/>
    <w:pPr>
      <w:widowControl/>
      <w:adjustRightInd/>
      <w:snapToGrid/>
      <w:spacing w:line="240" w:lineRule="auto"/>
      <w:ind w:firstLine="0" w:firstLineChars="0"/>
      <w:jc w:val="left"/>
    </w:pPr>
    <w:rPr>
      <w:rFonts w:asciiTheme="minorHAnsi" w:hAnsiTheme="minorHAnsi" w:eastAsiaTheme="minorEastAsia" w:cstheme="minorBidi"/>
      <w:i/>
      <w:kern w:val="0"/>
    </w:rPr>
  </w:style>
  <w:style w:type="character" w:customStyle="1" w:styleId="347">
    <w:name w:val="引用 Char"/>
    <w:basedOn w:val="231"/>
    <w:link w:val="346"/>
    <w:qFormat/>
    <w:uiPriority w:val="29"/>
    <w:rPr>
      <w:rFonts w:asciiTheme="minorHAnsi" w:hAnsiTheme="minorHAnsi" w:eastAsiaTheme="minorEastAsia" w:cstheme="minorBidi"/>
      <w:i/>
      <w:sz w:val="24"/>
      <w:szCs w:val="24"/>
    </w:rPr>
  </w:style>
  <w:style w:type="paragraph" w:styleId="348">
    <w:name w:val="Intense Quote"/>
    <w:basedOn w:val="1"/>
    <w:next w:val="1"/>
    <w:link w:val="349"/>
    <w:qFormat/>
    <w:uiPriority w:val="30"/>
    <w:pPr>
      <w:widowControl/>
      <w:adjustRightInd/>
      <w:snapToGrid/>
      <w:spacing w:line="240" w:lineRule="auto"/>
      <w:ind w:left="720" w:right="720" w:firstLine="0" w:firstLineChars="0"/>
      <w:jc w:val="left"/>
    </w:pPr>
    <w:rPr>
      <w:rFonts w:asciiTheme="minorHAnsi" w:hAnsiTheme="minorHAnsi" w:eastAsiaTheme="minorEastAsia" w:cstheme="minorBidi"/>
      <w:b/>
      <w:i/>
      <w:kern w:val="0"/>
      <w:szCs w:val="22"/>
    </w:rPr>
  </w:style>
  <w:style w:type="character" w:customStyle="1" w:styleId="349">
    <w:name w:val="明显引用 Char"/>
    <w:basedOn w:val="231"/>
    <w:link w:val="348"/>
    <w:qFormat/>
    <w:uiPriority w:val="30"/>
    <w:rPr>
      <w:rFonts w:asciiTheme="minorHAnsi" w:hAnsiTheme="minorHAnsi" w:eastAsiaTheme="minorEastAsia" w:cstheme="minorBidi"/>
      <w:b/>
      <w:i/>
      <w:sz w:val="24"/>
      <w:szCs w:val="22"/>
    </w:rPr>
  </w:style>
  <w:style w:type="character" w:customStyle="1" w:styleId="350">
    <w:name w:val="Subtle Emphasis"/>
    <w:qFormat/>
    <w:uiPriority w:val="19"/>
    <w:rPr>
      <w:i/>
      <w:color w:val="595959" w:themeColor="text1" w:themeTint="A5"/>
    </w:rPr>
  </w:style>
  <w:style w:type="character" w:customStyle="1" w:styleId="351">
    <w:name w:val="Intense Emphasis"/>
    <w:basedOn w:val="231"/>
    <w:qFormat/>
    <w:uiPriority w:val="21"/>
    <w:rPr>
      <w:b/>
      <w:i/>
      <w:sz w:val="24"/>
      <w:szCs w:val="24"/>
      <w:u w:val="single"/>
    </w:rPr>
  </w:style>
  <w:style w:type="character" w:customStyle="1" w:styleId="352">
    <w:name w:val="Subtle Reference"/>
    <w:basedOn w:val="231"/>
    <w:qFormat/>
    <w:uiPriority w:val="31"/>
    <w:rPr>
      <w:sz w:val="24"/>
      <w:szCs w:val="24"/>
      <w:u w:val="single"/>
    </w:rPr>
  </w:style>
  <w:style w:type="character" w:customStyle="1" w:styleId="353">
    <w:name w:val="Intense Reference"/>
    <w:basedOn w:val="231"/>
    <w:qFormat/>
    <w:uiPriority w:val="32"/>
    <w:rPr>
      <w:b/>
      <w:sz w:val="24"/>
      <w:u w:val="single"/>
    </w:rPr>
  </w:style>
  <w:style w:type="character" w:customStyle="1" w:styleId="354">
    <w:name w:val="Book Title"/>
    <w:basedOn w:val="231"/>
    <w:qFormat/>
    <w:uiPriority w:val="33"/>
    <w:rPr>
      <w:rFonts w:asciiTheme="majorHAnsi" w:hAnsiTheme="majorHAnsi" w:eastAsiaTheme="majorEastAsia"/>
      <w:b/>
      <w:i/>
      <w:sz w:val="24"/>
      <w:szCs w:val="24"/>
    </w:rPr>
  </w:style>
  <w:style w:type="character" w:customStyle="1" w:styleId="355">
    <w:name w:val="宏文本 Char"/>
    <w:basedOn w:val="231"/>
    <w:link w:val="2"/>
    <w:semiHidden/>
    <w:qFormat/>
    <w:uiPriority w:val="99"/>
    <w:rPr>
      <w:rFonts w:ascii="Courier New" w:hAnsi="Courier New" w:cs="Courier New"/>
      <w:kern w:val="2"/>
      <w:sz w:val="24"/>
      <w:szCs w:val="24"/>
    </w:rPr>
  </w:style>
  <w:style w:type="character" w:customStyle="1" w:styleId="356">
    <w:name w:val="注释标题 Char"/>
    <w:basedOn w:val="231"/>
    <w:link w:val="16"/>
    <w:semiHidden/>
    <w:qFormat/>
    <w:uiPriority w:val="99"/>
    <w:rPr>
      <w:rFonts w:asciiTheme="minorHAnsi" w:hAnsiTheme="minorHAnsi" w:eastAsiaTheme="minorEastAsia" w:cstheme="minorBidi"/>
      <w:sz w:val="24"/>
      <w:szCs w:val="24"/>
    </w:rPr>
  </w:style>
  <w:style w:type="character" w:customStyle="1" w:styleId="357">
    <w:name w:val="电子邮件签名 Char"/>
    <w:basedOn w:val="231"/>
    <w:link w:val="19"/>
    <w:semiHidden/>
    <w:qFormat/>
    <w:uiPriority w:val="99"/>
    <w:rPr>
      <w:rFonts w:asciiTheme="minorHAnsi" w:hAnsiTheme="minorHAnsi" w:eastAsiaTheme="minorEastAsia" w:cstheme="minorBidi"/>
      <w:sz w:val="24"/>
      <w:szCs w:val="24"/>
    </w:rPr>
  </w:style>
  <w:style w:type="character" w:customStyle="1" w:styleId="358">
    <w:name w:val="批注文字 Char"/>
    <w:basedOn w:val="231"/>
    <w:link w:val="29"/>
    <w:semiHidden/>
    <w:qFormat/>
    <w:uiPriority w:val="99"/>
    <w:rPr>
      <w:rFonts w:asciiTheme="minorHAnsi" w:hAnsiTheme="minorHAnsi" w:eastAsiaTheme="minorEastAsia" w:cstheme="minorBidi"/>
      <w:sz w:val="24"/>
      <w:szCs w:val="24"/>
    </w:rPr>
  </w:style>
  <w:style w:type="character" w:customStyle="1" w:styleId="359">
    <w:name w:val="正文文本 3 Char"/>
    <w:basedOn w:val="231"/>
    <w:link w:val="32"/>
    <w:semiHidden/>
    <w:qFormat/>
    <w:uiPriority w:val="99"/>
    <w:rPr>
      <w:rFonts w:asciiTheme="minorHAnsi" w:hAnsiTheme="minorHAnsi" w:eastAsiaTheme="minorEastAsia" w:cstheme="minorBidi"/>
      <w:sz w:val="16"/>
      <w:szCs w:val="16"/>
    </w:rPr>
  </w:style>
  <w:style w:type="character" w:customStyle="1" w:styleId="360">
    <w:name w:val="结束语 Char"/>
    <w:basedOn w:val="231"/>
    <w:link w:val="33"/>
    <w:semiHidden/>
    <w:qFormat/>
    <w:uiPriority w:val="99"/>
    <w:rPr>
      <w:rFonts w:asciiTheme="minorHAnsi" w:hAnsiTheme="minorHAnsi" w:eastAsiaTheme="minorEastAsia" w:cstheme="minorBidi"/>
      <w:sz w:val="24"/>
      <w:szCs w:val="24"/>
    </w:rPr>
  </w:style>
  <w:style w:type="character" w:customStyle="1" w:styleId="361">
    <w:name w:val="HTML 地址 Char"/>
    <w:basedOn w:val="231"/>
    <w:link w:val="41"/>
    <w:semiHidden/>
    <w:qFormat/>
    <w:uiPriority w:val="99"/>
    <w:rPr>
      <w:rFonts w:asciiTheme="minorHAnsi" w:hAnsiTheme="minorHAnsi" w:eastAsiaTheme="minorEastAsia" w:cstheme="minorBidi"/>
      <w:i/>
      <w:iCs/>
      <w:sz w:val="24"/>
      <w:szCs w:val="24"/>
    </w:rPr>
  </w:style>
  <w:style w:type="character" w:customStyle="1" w:styleId="362">
    <w:name w:val="尾注文本 Char"/>
    <w:basedOn w:val="231"/>
    <w:link w:val="52"/>
    <w:semiHidden/>
    <w:qFormat/>
    <w:uiPriority w:val="99"/>
    <w:rPr>
      <w:rFonts w:asciiTheme="minorHAnsi" w:hAnsiTheme="minorHAnsi" w:eastAsiaTheme="minorEastAsia" w:cstheme="minorBidi"/>
      <w:sz w:val="24"/>
      <w:szCs w:val="24"/>
    </w:rPr>
  </w:style>
  <w:style w:type="character" w:customStyle="1" w:styleId="363">
    <w:name w:val="签名 Char"/>
    <w:basedOn w:val="231"/>
    <w:link w:val="58"/>
    <w:semiHidden/>
    <w:qFormat/>
    <w:uiPriority w:val="99"/>
    <w:rPr>
      <w:rFonts w:asciiTheme="minorHAnsi" w:hAnsiTheme="minorHAnsi" w:eastAsiaTheme="minorEastAsia" w:cstheme="minorBidi"/>
      <w:sz w:val="24"/>
      <w:szCs w:val="24"/>
    </w:rPr>
  </w:style>
  <w:style w:type="character" w:customStyle="1" w:styleId="364">
    <w:name w:val="脚注文本 Char"/>
    <w:basedOn w:val="231"/>
    <w:link w:val="67"/>
    <w:semiHidden/>
    <w:qFormat/>
    <w:uiPriority w:val="99"/>
    <w:rPr>
      <w:rFonts w:asciiTheme="minorHAnsi" w:hAnsiTheme="minorHAnsi" w:eastAsiaTheme="minorEastAsia" w:cstheme="minorBidi"/>
      <w:sz w:val="18"/>
      <w:szCs w:val="18"/>
    </w:rPr>
  </w:style>
  <w:style w:type="character" w:customStyle="1" w:styleId="365">
    <w:name w:val="信息标题 Char"/>
    <w:basedOn w:val="231"/>
    <w:link w:val="79"/>
    <w:semiHidden/>
    <w:qFormat/>
    <w:uiPriority w:val="99"/>
    <w:rPr>
      <w:rFonts w:asciiTheme="majorHAnsi" w:hAnsiTheme="majorHAnsi" w:eastAsiaTheme="majorEastAsia" w:cstheme="majorBidi"/>
      <w:sz w:val="24"/>
      <w:szCs w:val="24"/>
      <w:shd w:val="pct20" w:color="auto" w:fill="auto"/>
    </w:rPr>
  </w:style>
  <w:style w:type="character" w:customStyle="1" w:styleId="366">
    <w:name w:val="HTML 预设格式 Char"/>
    <w:basedOn w:val="231"/>
    <w:link w:val="80"/>
    <w:semiHidden/>
    <w:qFormat/>
    <w:uiPriority w:val="99"/>
    <w:rPr>
      <w:rFonts w:ascii="Courier New" w:hAnsi="Courier New" w:cs="Courier New" w:eastAsiaTheme="minorEastAsia"/>
    </w:rPr>
  </w:style>
  <w:style w:type="character" w:customStyle="1" w:styleId="367">
    <w:name w:val="批注主题 Char"/>
    <w:basedOn w:val="358"/>
    <w:link w:val="85"/>
    <w:semiHidden/>
    <w:qFormat/>
    <w:uiPriority w:val="99"/>
    <w:rPr>
      <w:rFonts w:asciiTheme="minorHAnsi" w:hAnsiTheme="minorHAnsi" w:eastAsiaTheme="minorEastAsia" w:cstheme="minorBidi"/>
      <w:b/>
      <w:bCs/>
      <w:sz w:val="24"/>
      <w:szCs w:val="24"/>
    </w:rPr>
  </w:style>
  <w:style w:type="character" w:customStyle="1" w:styleId="368">
    <w:name w:val="正文首行缩进 2 Char"/>
    <w:basedOn w:val="269"/>
    <w:link w:val="87"/>
    <w:semiHidden/>
    <w:qFormat/>
    <w:uiPriority w:val="99"/>
    <w:rPr>
      <w:rFonts w:asciiTheme="minorHAnsi" w:hAnsiTheme="minorHAnsi" w:eastAsiaTheme="minorEastAsia" w:cstheme="minorBidi"/>
      <w:sz w:val="24"/>
      <w:szCs w:val="24"/>
    </w:rPr>
  </w:style>
  <w:style w:type="character" w:customStyle="1" w:styleId="369">
    <w:name w:val="LW正文1 Char"/>
    <w:basedOn w:val="231"/>
    <w:link w:val="314"/>
    <w:qFormat/>
    <w:uiPriority w:val="0"/>
    <w:rPr>
      <w:rFonts w:ascii="宋体" w:hAnsi="宋体" w:cstheme="minorBidi"/>
      <w:spacing w:val="10"/>
      <w:sz w:val="24"/>
      <w:szCs w:val="22"/>
    </w:rPr>
  </w:style>
  <w:style w:type="character" w:customStyle="1" w:styleId="370">
    <w:name w:val="LW正文2 Char"/>
    <w:basedOn w:val="231"/>
    <w:link w:val="315"/>
    <w:qFormat/>
    <w:uiPriority w:val="0"/>
    <w:rPr>
      <w:rFonts w:ascii="宋体" w:hAnsi="宋体" w:cstheme="minorBidi"/>
      <w:spacing w:val="10"/>
      <w:sz w:val="24"/>
      <w:szCs w:val="22"/>
    </w:rPr>
  </w:style>
  <w:style w:type="character" w:customStyle="1" w:styleId="371">
    <w:name w:val="LW正文3 Char"/>
    <w:basedOn w:val="231"/>
    <w:link w:val="316"/>
    <w:qFormat/>
    <w:uiPriority w:val="0"/>
    <w:rPr>
      <w:rFonts w:ascii="宋体" w:hAnsi="宋体" w:cstheme="minorBidi"/>
      <w:spacing w:val="10"/>
      <w:sz w:val="24"/>
      <w:szCs w:val="22"/>
    </w:rPr>
  </w:style>
  <w:style w:type="character" w:customStyle="1" w:styleId="372">
    <w:name w:val="LW正文4 Char"/>
    <w:basedOn w:val="231"/>
    <w:link w:val="317"/>
    <w:qFormat/>
    <w:uiPriority w:val="0"/>
    <w:rPr>
      <w:rFonts w:ascii="宋体" w:hAnsi="宋体" w:cstheme="minorBidi"/>
      <w:spacing w:val="10"/>
      <w:sz w:val="24"/>
      <w:szCs w:val="22"/>
    </w:rPr>
  </w:style>
  <w:style w:type="character" w:customStyle="1" w:styleId="373">
    <w:name w:val="LW正文5 Char"/>
    <w:basedOn w:val="231"/>
    <w:link w:val="318"/>
    <w:qFormat/>
    <w:uiPriority w:val="0"/>
    <w:rPr>
      <w:rFonts w:ascii="宋体" w:hAnsi="宋体" w:cstheme="minorBidi"/>
      <w:spacing w:val="10"/>
      <w:sz w:val="24"/>
      <w:szCs w:val="22"/>
    </w:rPr>
  </w:style>
  <w:style w:type="paragraph" w:customStyle="1" w:styleId="374">
    <w:name w:val="LW标题0"/>
    <w:basedOn w:val="1"/>
    <w:next w:val="312"/>
    <w:link w:val="375"/>
    <w:qFormat/>
    <w:uiPriority w:val="0"/>
    <w:pPr>
      <w:widowControl/>
      <w:wordWrap w:val="0"/>
      <w:autoSpaceDE w:val="0"/>
      <w:autoSpaceDN w:val="0"/>
      <w:spacing w:before="320" w:line="520" w:lineRule="atLeast"/>
      <w:ind w:firstLine="0" w:firstLineChars="0"/>
      <w:jc w:val="center"/>
      <w:textAlignment w:val="baseline"/>
    </w:pPr>
    <w:rPr>
      <w:rFonts w:ascii="Times New Roman" w:hAnsi="Times New Roman" w:eastAsia="宋体" w:cstheme="minorBidi"/>
      <w:b/>
      <w:spacing w:val="10"/>
      <w:kern w:val="0"/>
      <w:sz w:val="32"/>
    </w:rPr>
  </w:style>
  <w:style w:type="character" w:customStyle="1" w:styleId="375">
    <w:name w:val="LW标题0 Char"/>
    <w:basedOn w:val="231"/>
    <w:link w:val="374"/>
    <w:qFormat/>
    <w:uiPriority w:val="0"/>
    <w:rPr>
      <w:rFonts w:ascii="Times New Roman" w:hAnsi="Times New Roman" w:cstheme="minorBidi"/>
      <w:b/>
      <w:spacing w:val="10"/>
      <w:sz w:val="32"/>
      <w:szCs w:val="24"/>
    </w:rPr>
  </w:style>
  <w:style w:type="character" w:customStyle="1" w:styleId="376">
    <w:name w:val="LW标题1 Char"/>
    <w:basedOn w:val="231"/>
    <w:link w:val="319"/>
    <w:qFormat/>
    <w:uiPriority w:val="0"/>
    <w:rPr>
      <w:rFonts w:ascii="宋体" w:hAnsi="宋体" w:cstheme="minorBidi"/>
      <w:b/>
      <w:spacing w:val="10"/>
      <w:sz w:val="24"/>
      <w:szCs w:val="22"/>
    </w:rPr>
  </w:style>
  <w:style w:type="character" w:customStyle="1" w:styleId="377">
    <w:name w:val="LW标题2 Char"/>
    <w:basedOn w:val="231"/>
    <w:link w:val="320"/>
    <w:qFormat/>
    <w:uiPriority w:val="0"/>
    <w:rPr>
      <w:rFonts w:ascii="宋体" w:hAnsi="宋体" w:eastAsia="仿宋_GB2312" w:cstheme="minorBidi"/>
      <w:b/>
      <w:spacing w:val="10"/>
      <w:sz w:val="24"/>
      <w:szCs w:val="22"/>
    </w:rPr>
  </w:style>
  <w:style w:type="character" w:customStyle="1" w:styleId="378">
    <w:name w:val="LW标题4 Char"/>
    <w:basedOn w:val="231"/>
    <w:link w:val="323"/>
    <w:qFormat/>
    <w:uiPriority w:val="0"/>
    <w:rPr>
      <w:rFonts w:ascii="宋体" w:hAnsi="宋体" w:cstheme="minorBidi"/>
      <w:b/>
      <w:spacing w:val="10"/>
      <w:sz w:val="24"/>
      <w:szCs w:val="22"/>
    </w:rPr>
  </w:style>
  <w:style w:type="paragraph" w:customStyle="1" w:styleId="379">
    <w:name w:val="LW目录标题"/>
    <w:basedOn w:val="1"/>
    <w:next w:val="312"/>
    <w:link w:val="380"/>
    <w:qFormat/>
    <w:uiPriority w:val="0"/>
    <w:pPr>
      <w:widowControl/>
      <w:wordWrap w:val="0"/>
      <w:autoSpaceDE w:val="0"/>
      <w:autoSpaceDN w:val="0"/>
      <w:spacing w:before="200" w:after="200" w:line="480" w:lineRule="atLeast"/>
      <w:ind w:firstLine="0" w:firstLineChars="0"/>
      <w:jc w:val="center"/>
      <w:textAlignment w:val="baseline"/>
    </w:pPr>
    <w:rPr>
      <w:rFonts w:ascii="Times New Roman" w:hAnsi="Times New Roman" w:eastAsia="宋体" w:cstheme="minorBidi"/>
      <w:b/>
      <w:spacing w:val="10"/>
      <w:kern w:val="0"/>
      <w:sz w:val="28"/>
    </w:rPr>
  </w:style>
  <w:style w:type="character" w:customStyle="1" w:styleId="380">
    <w:name w:val="LW目录标题 Char"/>
    <w:basedOn w:val="231"/>
    <w:link w:val="379"/>
    <w:qFormat/>
    <w:uiPriority w:val="0"/>
    <w:rPr>
      <w:rFonts w:ascii="Times New Roman" w:hAnsi="Times New Roman" w:cstheme="minorBidi"/>
      <w:b/>
      <w:spacing w:val="10"/>
      <w:sz w:val="28"/>
      <w:szCs w:val="24"/>
    </w:rPr>
  </w:style>
  <w:style w:type="paragraph" w:customStyle="1" w:styleId="381">
    <w:name w:val="LW表格"/>
    <w:basedOn w:val="1"/>
    <w:next w:val="312"/>
    <w:link w:val="382"/>
    <w:qFormat/>
    <w:uiPriority w:val="0"/>
    <w:pPr>
      <w:widowControl/>
      <w:autoSpaceDE w:val="0"/>
      <w:autoSpaceDN w:val="0"/>
      <w:spacing w:line="220" w:lineRule="atLeast"/>
      <w:ind w:firstLine="0" w:firstLineChars="0"/>
      <w:jc w:val="center"/>
      <w:textAlignment w:val="baseline"/>
    </w:pPr>
    <w:rPr>
      <w:rFonts w:ascii="宋体" w:hAnsi="宋体" w:eastAsia="宋体" w:cstheme="minorBidi"/>
      <w:spacing w:val="10"/>
      <w:kern w:val="0"/>
      <w:sz w:val="18"/>
    </w:rPr>
  </w:style>
  <w:style w:type="character" w:customStyle="1" w:styleId="382">
    <w:name w:val="LW表格 Char"/>
    <w:basedOn w:val="231"/>
    <w:link w:val="381"/>
    <w:qFormat/>
    <w:uiPriority w:val="0"/>
    <w:rPr>
      <w:rFonts w:ascii="宋体" w:hAnsi="宋体" w:cstheme="minorBidi"/>
      <w:spacing w:val="10"/>
      <w:sz w:val="18"/>
      <w:szCs w:val="24"/>
    </w:rPr>
  </w:style>
  <w:style w:type="paragraph" w:customStyle="1" w:styleId="383">
    <w:name w:val="LW表格表头"/>
    <w:basedOn w:val="1"/>
    <w:next w:val="312"/>
    <w:link w:val="384"/>
    <w:qFormat/>
    <w:uiPriority w:val="0"/>
    <w:pPr>
      <w:widowControl/>
      <w:autoSpaceDE w:val="0"/>
      <w:autoSpaceDN w:val="0"/>
      <w:spacing w:line="220" w:lineRule="atLeast"/>
      <w:ind w:firstLine="0" w:firstLineChars="0"/>
      <w:jc w:val="center"/>
      <w:textAlignment w:val="baseline"/>
    </w:pPr>
    <w:rPr>
      <w:rFonts w:ascii="宋体" w:hAnsi="宋体" w:eastAsia="宋体" w:cstheme="minorBidi"/>
      <w:b/>
      <w:spacing w:val="10"/>
      <w:kern w:val="0"/>
      <w:sz w:val="18"/>
    </w:rPr>
  </w:style>
  <w:style w:type="character" w:customStyle="1" w:styleId="384">
    <w:name w:val="LW表格表头 Char"/>
    <w:basedOn w:val="231"/>
    <w:link w:val="383"/>
    <w:qFormat/>
    <w:uiPriority w:val="0"/>
    <w:rPr>
      <w:rFonts w:ascii="宋体" w:hAnsi="宋体" w:cstheme="minorBidi"/>
      <w:b/>
      <w:spacing w:val="10"/>
      <w:sz w:val="18"/>
      <w:szCs w:val="24"/>
    </w:rPr>
  </w:style>
  <w:style w:type="paragraph" w:customStyle="1" w:styleId="385">
    <w:name w:val="LW表格单位"/>
    <w:basedOn w:val="1"/>
    <w:next w:val="312"/>
    <w:link w:val="386"/>
    <w:qFormat/>
    <w:uiPriority w:val="0"/>
    <w:pPr>
      <w:widowControl/>
      <w:autoSpaceDE w:val="0"/>
      <w:autoSpaceDN w:val="0"/>
      <w:spacing w:line="180" w:lineRule="atLeast"/>
      <w:ind w:firstLine="0" w:firstLineChars="0"/>
      <w:jc w:val="right"/>
      <w:textAlignment w:val="baseline"/>
    </w:pPr>
    <w:rPr>
      <w:rFonts w:ascii="宋体" w:hAnsi="宋体" w:eastAsia="宋体" w:cstheme="minorBidi"/>
      <w:spacing w:val="10"/>
      <w:kern w:val="0"/>
      <w:sz w:val="18"/>
    </w:rPr>
  </w:style>
  <w:style w:type="character" w:customStyle="1" w:styleId="386">
    <w:name w:val="LW表格单位 Char"/>
    <w:basedOn w:val="231"/>
    <w:link w:val="385"/>
    <w:qFormat/>
    <w:uiPriority w:val="0"/>
    <w:rPr>
      <w:rFonts w:ascii="宋体" w:hAnsi="宋体" w:cstheme="minorBidi"/>
      <w:spacing w:val="10"/>
      <w:sz w:val="18"/>
      <w:szCs w:val="24"/>
    </w:rPr>
  </w:style>
  <w:style w:type="paragraph" w:customStyle="1" w:styleId="387">
    <w:name w:val="LW表格尾注"/>
    <w:basedOn w:val="1"/>
    <w:next w:val="312"/>
    <w:link w:val="388"/>
    <w:qFormat/>
    <w:uiPriority w:val="0"/>
    <w:pPr>
      <w:widowControl/>
      <w:autoSpaceDE w:val="0"/>
      <w:autoSpaceDN w:val="0"/>
      <w:spacing w:line="220" w:lineRule="atLeast"/>
      <w:ind w:firstLine="0" w:firstLineChars="0"/>
      <w:jc w:val="left"/>
      <w:textAlignment w:val="baseline"/>
    </w:pPr>
    <w:rPr>
      <w:rFonts w:ascii="宋体" w:hAnsi="宋体" w:eastAsia="宋体" w:cstheme="minorBidi"/>
      <w:spacing w:val="10"/>
      <w:kern w:val="0"/>
      <w:sz w:val="18"/>
    </w:rPr>
  </w:style>
  <w:style w:type="character" w:customStyle="1" w:styleId="388">
    <w:name w:val="LW表格尾注 Char"/>
    <w:basedOn w:val="231"/>
    <w:link w:val="387"/>
    <w:qFormat/>
    <w:uiPriority w:val="0"/>
    <w:rPr>
      <w:rFonts w:ascii="宋体" w:hAnsi="宋体" w:cstheme="minorBidi"/>
      <w:spacing w:val="10"/>
      <w:sz w:val="18"/>
      <w:szCs w:val="24"/>
    </w:rPr>
  </w:style>
  <w:style w:type="paragraph" w:customStyle="1" w:styleId="389">
    <w:name w:val="LW图名"/>
    <w:basedOn w:val="1"/>
    <w:next w:val="312"/>
    <w:link w:val="390"/>
    <w:qFormat/>
    <w:uiPriority w:val="0"/>
    <w:pPr>
      <w:widowControl/>
      <w:autoSpaceDE w:val="0"/>
      <w:autoSpaceDN w:val="0"/>
      <w:spacing w:line="280" w:lineRule="atLeast"/>
      <w:ind w:firstLine="0" w:firstLineChars="0"/>
      <w:jc w:val="center"/>
      <w:textAlignment w:val="baseline"/>
    </w:pPr>
    <w:rPr>
      <w:rFonts w:ascii="宋体" w:hAnsi="宋体" w:eastAsia="宋体" w:cstheme="minorBidi"/>
      <w:b/>
      <w:spacing w:val="10"/>
      <w:kern w:val="0"/>
    </w:rPr>
  </w:style>
  <w:style w:type="character" w:customStyle="1" w:styleId="390">
    <w:name w:val="LW图名 Char"/>
    <w:basedOn w:val="231"/>
    <w:link w:val="389"/>
    <w:qFormat/>
    <w:uiPriority w:val="0"/>
    <w:rPr>
      <w:rFonts w:ascii="宋体" w:hAnsi="宋体" w:cstheme="minorBidi"/>
      <w:b/>
      <w:spacing w:val="10"/>
      <w:sz w:val="24"/>
      <w:szCs w:val="24"/>
    </w:rPr>
  </w:style>
  <w:style w:type="paragraph" w:customStyle="1" w:styleId="391">
    <w:name w:val="LW插图"/>
    <w:basedOn w:val="1"/>
    <w:next w:val="1"/>
    <w:link w:val="392"/>
    <w:qFormat/>
    <w:uiPriority w:val="0"/>
    <w:pPr>
      <w:keepNext/>
      <w:widowControl/>
      <w:autoSpaceDE w:val="0"/>
      <w:autoSpaceDN w:val="0"/>
      <w:spacing w:before="160" w:line="240" w:lineRule="auto"/>
      <w:ind w:firstLine="0" w:firstLineChars="0"/>
      <w:jc w:val="center"/>
      <w:textAlignment w:val="baseline"/>
    </w:pPr>
    <w:rPr>
      <w:rFonts w:ascii="宋体" w:hAnsi="宋体" w:eastAsia="宋体" w:cstheme="minorBidi"/>
      <w:spacing w:val="10"/>
      <w:kern w:val="0"/>
      <w:sz w:val="18"/>
    </w:rPr>
  </w:style>
  <w:style w:type="character" w:customStyle="1" w:styleId="392">
    <w:name w:val="LW插图 Char"/>
    <w:basedOn w:val="231"/>
    <w:link w:val="391"/>
    <w:qFormat/>
    <w:uiPriority w:val="0"/>
    <w:rPr>
      <w:rFonts w:ascii="宋体" w:hAnsi="宋体" w:cstheme="minorBidi"/>
      <w:spacing w:val="10"/>
      <w:sz w:val="18"/>
      <w:szCs w:val="24"/>
    </w:rPr>
  </w:style>
  <w:style w:type="paragraph" w:customStyle="1" w:styleId="393">
    <w:name w:val="LW页眉"/>
    <w:basedOn w:val="1"/>
    <w:next w:val="312"/>
    <w:link w:val="394"/>
    <w:qFormat/>
    <w:uiPriority w:val="0"/>
    <w:pPr>
      <w:widowControl/>
      <w:pBdr>
        <w:bottom w:val="single" w:color="auto" w:sz="4" w:space="0"/>
      </w:pBdr>
      <w:tabs>
        <w:tab w:val="center" w:pos="22677"/>
      </w:tabs>
      <w:autoSpaceDE w:val="0"/>
      <w:autoSpaceDN w:val="0"/>
      <w:spacing w:line="240" w:lineRule="auto"/>
      <w:ind w:firstLine="0" w:firstLineChars="0"/>
      <w:jc w:val="center"/>
      <w:textAlignment w:val="baseline"/>
    </w:pPr>
    <w:rPr>
      <w:rFonts w:ascii="宋体" w:hAnsi="宋体" w:eastAsia="宋体" w:cstheme="minorBidi"/>
      <w:spacing w:val="10"/>
      <w:kern w:val="0"/>
      <w:sz w:val="18"/>
    </w:rPr>
  </w:style>
  <w:style w:type="character" w:customStyle="1" w:styleId="394">
    <w:name w:val="LW页眉 Char"/>
    <w:basedOn w:val="231"/>
    <w:link w:val="393"/>
    <w:qFormat/>
    <w:uiPriority w:val="0"/>
    <w:rPr>
      <w:rFonts w:ascii="宋体" w:hAnsi="宋体" w:cstheme="minorBidi"/>
      <w:spacing w:val="10"/>
      <w:sz w:val="18"/>
      <w:szCs w:val="24"/>
    </w:rPr>
  </w:style>
  <w:style w:type="paragraph" w:customStyle="1" w:styleId="395">
    <w:name w:val="LW页脚"/>
    <w:basedOn w:val="1"/>
    <w:next w:val="312"/>
    <w:link w:val="396"/>
    <w:qFormat/>
    <w:uiPriority w:val="0"/>
    <w:pPr>
      <w:widowControl/>
      <w:pBdr>
        <w:top w:val="single" w:color="auto" w:sz="4" w:space="0"/>
      </w:pBdr>
      <w:tabs>
        <w:tab w:val="center" w:pos="22677"/>
      </w:tabs>
      <w:autoSpaceDE w:val="0"/>
      <w:autoSpaceDN w:val="0"/>
      <w:spacing w:line="340" w:lineRule="atLeast"/>
      <w:ind w:firstLine="0" w:firstLineChars="0"/>
      <w:jc w:val="center"/>
      <w:textAlignment w:val="top"/>
    </w:pPr>
    <w:rPr>
      <w:rFonts w:ascii="宋体" w:hAnsi="宋体" w:eastAsia="宋体" w:cstheme="minorBidi"/>
      <w:spacing w:val="10"/>
      <w:kern w:val="0"/>
      <w:sz w:val="18"/>
    </w:rPr>
  </w:style>
  <w:style w:type="character" w:customStyle="1" w:styleId="396">
    <w:name w:val="LW页脚 Char"/>
    <w:basedOn w:val="231"/>
    <w:link w:val="395"/>
    <w:qFormat/>
    <w:uiPriority w:val="0"/>
    <w:rPr>
      <w:rFonts w:ascii="宋体" w:hAnsi="宋体" w:cstheme="minorBidi"/>
      <w:spacing w:val="10"/>
      <w:sz w:val="18"/>
      <w:szCs w:val="24"/>
    </w:rPr>
  </w:style>
  <w:style w:type="paragraph" w:customStyle="1" w:styleId="397">
    <w:name w:val="LW图框文字"/>
    <w:basedOn w:val="1"/>
    <w:next w:val="312"/>
    <w:link w:val="398"/>
    <w:qFormat/>
    <w:uiPriority w:val="0"/>
    <w:pPr>
      <w:widowControl/>
      <w:autoSpaceDE w:val="0"/>
      <w:autoSpaceDN w:val="0"/>
      <w:spacing w:line="240" w:lineRule="exact"/>
      <w:ind w:firstLine="0" w:firstLineChars="0"/>
      <w:jc w:val="center"/>
      <w:textAlignment w:val="baseline"/>
    </w:pPr>
    <w:rPr>
      <w:rFonts w:ascii="宋体" w:hAnsi="宋体" w:eastAsia="宋体" w:cstheme="minorBidi"/>
      <w:spacing w:val="10"/>
      <w:w w:val="75"/>
      <w:kern w:val="0"/>
    </w:rPr>
  </w:style>
  <w:style w:type="character" w:customStyle="1" w:styleId="398">
    <w:name w:val="LW图框文字 Char"/>
    <w:basedOn w:val="231"/>
    <w:link w:val="397"/>
    <w:qFormat/>
    <w:uiPriority w:val="0"/>
    <w:rPr>
      <w:rFonts w:ascii="宋体" w:hAnsi="宋体" w:cstheme="minorBidi"/>
      <w:spacing w:val="10"/>
      <w:w w:val="75"/>
      <w:sz w:val="24"/>
      <w:szCs w:val="24"/>
    </w:rPr>
  </w:style>
  <w:style w:type="character" w:styleId="399">
    <w:name w:val="Placeholder Text"/>
    <w:basedOn w:val="231"/>
    <w:semiHidden/>
    <w:qFormat/>
    <w:uiPriority w:val="99"/>
    <w:rPr>
      <w:color w:val="808080"/>
    </w:rPr>
  </w:style>
  <w:style w:type="paragraph" w:customStyle="1" w:styleId="400">
    <w:name w:val="表标题"/>
    <w:basedOn w:val="1"/>
    <w:qFormat/>
    <w:uiPriority w:val="0"/>
    <w:pPr>
      <w:widowControl/>
      <w:spacing w:line="240" w:lineRule="auto"/>
      <w:ind w:firstLine="0" w:firstLineChars="0"/>
      <w:jc w:val="center"/>
    </w:pPr>
    <w:rPr>
      <w:rFonts w:ascii="Times New Roman" w:hAnsi="Times New Roman" w:eastAsia="宋体"/>
      <w:b/>
      <w:color w:val="000000"/>
      <w:kern w:val="0"/>
    </w:rPr>
  </w:style>
  <w:style w:type="character" w:customStyle="1" w:styleId="401">
    <w:name w:val="不明显参考1"/>
    <w:basedOn w:val="231"/>
    <w:qFormat/>
    <w:uiPriority w:val="31"/>
    <w:rPr>
      <w:smallCaps/>
      <w:color w:val="C0504D" w:themeColor="accent2"/>
      <w:u w:val="single"/>
    </w:rPr>
  </w:style>
  <w:style w:type="character" w:customStyle="1" w:styleId="402">
    <w:name w:val="不明显强调1"/>
    <w:basedOn w:val="231"/>
    <w:qFormat/>
    <w:uiPriority w:val="19"/>
    <w:rPr>
      <w:i/>
      <w:iCs/>
      <w:color w:val="7E7E7E" w:themeColor="text1" w:themeTint="80"/>
    </w:rPr>
  </w:style>
  <w:style w:type="character" w:customStyle="1" w:styleId="403">
    <w:name w:val="明显参考1"/>
    <w:basedOn w:val="231"/>
    <w:qFormat/>
    <w:uiPriority w:val="32"/>
    <w:rPr>
      <w:b/>
      <w:bCs/>
      <w:smallCaps/>
      <w:color w:val="C0504D" w:themeColor="accent2"/>
      <w:spacing w:val="5"/>
      <w:u w:val="single"/>
    </w:rPr>
  </w:style>
  <w:style w:type="character" w:customStyle="1" w:styleId="404">
    <w:name w:val="明显强调1"/>
    <w:basedOn w:val="231"/>
    <w:qFormat/>
    <w:uiPriority w:val="21"/>
    <w:rPr>
      <w:b/>
      <w:bCs/>
      <w:i/>
      <w:iCs/>
      <w:color w:val="4F81BD" w:themeColor="accent1"/>
    </w:rPr>
  </w:style>
  <w:style w:type="character" w:customStyle="1" w:styleId="405">
    <w:name w:val="书籍标题1"/>
    <w:basedOn w:val="231"/>
    <w:qFormat/>
    <w:uiPriority w:val="33"/>
    <w:rPr>
      <w:b/>
      <w:bCs/>
      <w:smallCaps/>
      <w:spacing w:val="5"/>
    </w:rPr>
  </w:style>
  <w:style w:type="paragraph" w:customStyle="1" w:styleId="406">
    <w:name w:val="书目1"/>
    <w:basedOn w:val="1"/>
    <w:next w:val="1"/>
    <w:semiHidden/>
    <w:unhideWhenUsed/>
    <w:qFormat/>
    <w:uiPriority w:val="37"/>
    <w:pPr>
      <w:widowControl/>
      <w:adjustRightInd/>
      <w:snapToGrid/>
      <w:spacing w:line="240" w:lineRule="auto"/>
      <w:ind w:firstLine="0" w:firstLineChars="0"/>
      <w:jc w:val="left"/>
    </w:pPr>
    <w:rPr>
      <w:rFonts w:asciiTheme="minorHAnsi" w:hAnsiTheme="minorHAnsi" w:eastAsiaTheme="minorEastAsia" w:cstheme="minorBidi"/>
      <w:kern w:val="0"/>
    </w:rPr>
  </w:style>
  <w:style w:type="paragraph" w:customStyle="1" w:styleId="407">
    <w:name w:val="表中 zg五号"/>
    <w:basedOn w:val="1"/>
    <w:autoRedefine/>
    <w:qFormat/>
    <w:uiPriority w:val="0"/>
    <w:pPr>
      <w:widowControl/>
      <w:tabs>
        <w:tab w:val="center" w:pos="1599"/>
        <w:tab w:val="right" w:pos="3198"/>
      </w:tabs>
      <w:spacing w:line="240" w:lineRule="auto"/>
      <w:ind w:firstLine="0" w:firstLineChars="0"/>
      <w:jc w:val="center"/>
      <w:textAlignment w:val="center"/>
    </w:pPr>
    <w:rPr>
      <w:rFonts w:ascii="宋体" w:hAnsiTheme="minorHAnsi" w:eastAsiaTheme="minorEastAsia" w:cstheme="minorBidi"/>
      <w:spacing w:val="12"/>
      <w:kern w:val="0"/>
      <w:szCs w:val="18"/>
    </w:rPr>
  </w:style>
  <w:style w:type="character" w:customStyle="1" w:styleId="408">
    <w:name w:val="fontstyle01"/>
    <w:basedOn w:val="231"/>
    <w:qFormat/>
    <w:uiPriority w:val="0"/>
    <w:rPr>
      <w:rFonts w:ascii="宋体" w:hAnsi="宋体" w:eastAsia="宋体" w:cs="宋体"/>
      <w:color w:val="000000"/>
      <w:sz w:val="24"/>
      <w:szCs w:val="24"/>
    </w:rPr>
  </w:style>
  <w:style w:type="paragraph" w:customStyle="1" w:styleId="409">
    <w:name w:val="正文1"/>
    <w:link w:val="429"/>
    <w:qFormat/>
    <w:uiPriority w:val="0"/>
    <w:pPr>
      <w:jc w:val="both"/>
    </w:pPr>
    <w:rPr>
      <w:rFonts w:ascii="Times New Roman" w:hAnsi="Times New Roman" w:eastAsia="宋体" w:cs="Times New Roman"/>
      <w:kern w:val="2"/>
      <w:sz w:val="21"/>
      <w:szCs w:val="21"/>
      <w:lang w:val="en-US" w:eastAsia="zh-CN" w:bidi="ar-SA"/>
    </w:rPr>
  </w:style>
  <w:style w:type="paragraph" w:customStyle="1" w:styleId="410">
    <w:name w:val="正文（居中）"/>
    <w:basedOn w:val="1"/>
    <w:next w:val="1"/>
    <w:qFormat/>
    <w:uiPriority w:val="0"/>
    <w:pPr>
      <w:widowControl/>
      <w:adjustRightInd/>
      <w:snapToGrid/>
      <w:ind w:firstLine="0" w:firstLineChars="0"/>
      <w:jc w:val="center"/>
    </w:pPr>
    <w:rPr>
      <w:rFonts w:ascii="仿宋" w:hAnsi="仿宋" w:eastAsia="仿宋" w:cs="宋体"/>
      <w:kern w:val="0"/>
    </w:rPr>
  </w:style>
  <w:style w:type="paragraph" w:customStyle="1" w:styleId="411">
    <w:name w:val="表格文字"/>
    <w:basedOn w:val="1"/>
    <w:next w:val="1"/>
    <w:qFormat/>
    <w:uiPriority w:val="0"/>
    <w:pPr>
      <w:widowControl/>
      <w:adjustRightInd/>
      <w:snapToGrid/>
      <w:spacing w:before="100" w:beforeAutospacing="1" w:after="100" w:afterAutospacing="1" w:line="240" w:lineRule="auto"/>
      <w:ind w:firstLine="15" w:firstLineChars="15"/>
      <w:jc w:val="center"/>
    </w:pPr>
    <w:rPr>
      <w:rFonts w:ascii="仿宋" w:hAnsi="仿宋" w:eastAsia="宋体" w:cs="宋体"/>
      <w:color w:val="000000"/>
      <w:kern w:val="0"/>
      <w:szCs w:val="21"/>
    </w:rPr>
  </w:style>
  <w:style w:type="paragraph" w:customStyle="1" w:styleId="412">
    <w:name w:val="1111"/>
    <w:basedOn w:val="21"/>
    <w:qFormat/>
    <w:uiPriority w:val="0"/>
    <w:pPr>
      <w:widowControl/>
      <w:snapToGrid/>
      <w:spacing w:line="360" w:lineRule="atLeast"/>
      <w:ind w:firstLine="173" w:firstLineChars="82"/>
      <w:jc w:val="center"/>
      <w:textAlignment w:val="baseline"/>
    </w:pPr>
    <w:rPr>
      <w:rFonts w:ascii="Times New Roman" w:hAnsi="Times New Roman" w:eastAsia="宋体"/>
      <w:b/>
      <w:bCs/>
      <w:kern w:val="0"/>
    </w:rPr>
  </w:style>
  <w:style w:type="paragraph" w:customStyle="1" w:styleId="413">
    <w:name w:val="正文111"/>
    <w:basedOn w:val="1"/>
    <w:qFormat/>
    <w:uiPriority w:val="0"/>
    <w:pPr>
      <w:widowControl/>
      <w:adjustRightInd/>
      <w:snapToGrid/>
      <w:jc w:val="left"/>
    </w:pPr>
    <w:rPr>
      <w:rFonts w:ascii="宋体" w:hAnsi="宋体" w:eastAsia="宋体" w:cs="宋体"/>
      <w:kern w:val="0"/>
    </w:rPr>
  </w:style>
  <w:style w:type="paragraph" w:customStyle="1" w:styleId="414">
    <w:name w:val="3"/>
    <w:basedOn w:val="1"/>
    <w:qFormat/>
    <w:uiPriority w:val="0"/>
    <w:pPr>
      <w:widowControl/>
      <w:adjustRightInd/>
      <w:snapToGrid/>
      <w:jc w:val="left"/>
      <w:outlineLvl w:val="2"/>
    </w:pPr>
    <w:rPr>
      <w:rFonts w:ascii="宋体" w:hAnsi="宋体" w:eastAsia="宋体" w:cs="宋体"/>
      <w:b/>
      <w:bCs/>
      <w:kern w:val="0"/>
    </w:rPr>
  </w:style>
  <w:style w:type="table" w:customStyle="1" w:styleId="415">
    <w:name w:val="Table Normal"/>
    <w:semiHidden/>
    <w:unhideWhenUsed/>
    <w:qFormat/>
    <w:uiPriority w:val="2"/>
    <w:pPr>
      <w:widowControl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paragraph" w:customStyle="1" w:styleId="416">
    <w:name w:val="段"/>
    <w:link w:val="417"/>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417">
    <w:name w:val="段 Char"/>
    <w:link w:val="416"/>
    <w:qFormat/>
    <w:uiPriority w:val="0"/>
    <w:rPr>
      <w:rFonts w:ascii="宋体" w:hAnsi="Times New Roman"/>
      <w:sz w:val="21"/>
    </w:rPr>
  </w:style>
  <w:style w:type="table" w:customStyle="1" w:styleId="418">
    <w:name w:val="Table Normal1"/>
    <w:semiHidden/>
    <w:unhideWhenUsed/>
    <w:qFormat/>
    <w:uiPriority w:val="2"/>
    <w:pPr>
      <w:widowControl w:val="0"/>
      <w:autoSpaceDE w:val="0"/>
      <w:autoSpaceDN w:val="0"/>
    </w:pPr>
    <w:rPr>
      <w:rFonts w:ascii="等线" w:hAnsi="等线" w:eastAsia="等线"/>
      <w:sz w:val="22"/>
      <w:szCs w:val="22"/>
      <w:lang w:eastAsia="en-US"/>
    </w:rPr>
    <w:tblPr>
      <w:tblCellMar>
        <w:top w:w="0" w:type="dxa"/>
        <w:left w:w="0" w:type="dxa"/>
        <w:bottom w:w="0" w:type="dxa"/>
        <w:right w:w="0" w:type="dxa"/>
      </w:tblCellMar>
    </w:tblPr>
  </w:style>
  <w:style w:type="table" w:customStyle="1" w:styleId="419">
    <w:name w:val="Table Normal2"/>
    <w:semiHidden/>
    <w:unhideWhenUsed/>
    <w:qFormat/>
    <w:uiPriority w:val="2"/>
    <w:pPr>
      <w:widowControl w:val="0"/>
      <w:autoSpaceDE w:val="0"/>
      <w:autoSpaceDN w:val="0"/>
    </w:pPr>
    <w:rPr>
      <w:rFonts w:ascii="等线" w:hAnsi="等线" w:eastAsia="等线"/>
      <w:sz w:val="22"/>
      <w:szCs w:val="22"/>
      <w:lang w:eastAsia="en-US"/>
    </w:rPr>
    <w:tblPr>
      <w:tblCellMar>
        <w:top w:w="0" w:type="dxa"/>
        <w:left w:w="0" w:type="dxa"/>
        <w:bottom w:w="0" w:type="dxa"/>
        <w:right w:w="0" w:type="dxa"/>
      </w:tblCellMar>
    </w:tblPr>
  </w:style>
  <w:style w:type="table" w:customStyle="1" w:styleId="420">
    <w:name w:val="Table Normal3"/>
    <w:semiHidden/>
    <w:unhideWhenUsed/>
    <w:qFormat/>
    <w:uiPriority w:val="2"/>
    <w:pPr>
      <w:widowControl w:val="0"/>
      <w:autoSpaceDE w:val="0"/>
      <w:autoSpaceDN w:val="0"/>
    </w:pPr>
    <w:rPr>
      <w:rFonts w:ascii="等线" w:hAnsi="等线" w:eastAsia="等线"/>
      <w:sz w:val="22"/>
      <w:szCs w:val="22"/>
      <w:lang w:eastAsia="en-US"/>
    </w:rPr>
    <w:tblPr>
      <w:tblCellMar>
        <w:top w:w="0" w:type="dxa"/>
        <w:left w:w="0" w:type="dxa"/>
        <w:bottom w:w="0" w:type="dxa"/>
        <w:right w:w="0" w:type="dxa"/>
      </w:tblCellMar>
    </w:tblPr>
  </w:style>
  <w:style w:type="table" w:customStyle="1" w:styleId="421">
    <w:name w:val="Table Normal4"/>
    <w:semiHidden/>
    <w:unhideWhenUsed/>
    <w:qFormat/>
    <w:uiPriority w:val="2"/>
    <w:pPr>
      <w:widowControl w:val="0"/>
      <w:autoSpaceDE w:val="0"/>
      <w:autoSpaceDN w:val="0"/>
    </w:pPr>
    <w:rPr>
      <w:rFonts w:ascii="等线" w:hAnsi="等线" w:eastAsia="等线"/>
      <w:sz w:val="22"/>
      <w:szCs w:val="22"/>
      <w:lang w:eastAsia="en-US"/>
    </w:rPr>
    <w:tblPr>
      <w:tblCellMar>
        <w:top w:w="0" w:type="dxa"/>
        <w:left w:w="0" w:type="dxa"/>
        <w:bottom w:w="0" w:type="dxa"/>
        <w:right w:w="0" w:type="dxa"/>
      </w:tblCellMar>
    </w:tblPr>
  </w:style>
  <w:style w:type="table" w:customStyle="1" w:styleId="422">
    <w:name w:val="Table Normal5"/>
    <w:semiHidden/>
    <w:unhideWhenUsed/>
    <w:qFormat/>
    <w:uiPriority w:val="2"/>
    <w:pPr>
      <w:widowControl w:val="0"/>
      <w:autoSpaceDE w:val="0"/>
      <w:autoSpaceDN w:val="0"/>
    </w:pPr>
    <w:rPr>
      <w:rFonts w:ascii="等线" w:hAnsi="等线" w:eastAsia="等线"/>
      <w:sz w:val="22"/>
      <w:szCs w:val="22"/>
      <w:lang w:eastAsia="en-US"/>
    </w:rPr>
    <w:tblPr>
      <w:tblCellMar>
        <w:top w:w="0" w:type="dxa"/>
        <w:left w:w="0" w:type="dxa"/>
        <w:bottom w:w="0" w:type="dxa"/>
        <w:right w:w="0" w:type="dxa"/>
      </w:tblCellMar>
    </w:tblPr>
  </w:style>
  <w:style w:type="character" w:customStyle="1" w:styleId="423">
    <w:name w:val="font11"/>
    <w:basedOn w:val="231"/>
    <w:qFormat/>
    <w:uiPriority w:val="0"/>
    <w:rPr>
      <w:rFonts w:hint="eastAsia" w:ascii="仿宋_GB2312" w:eastAsia="仿宋_GB2312" w:cs="仿宋_GB2312"/>
      <w:color w:val="000000"/>
      <w:sz w:val="24"/>
      <w:szCs w:val="24"/>
      <w:u w:val="none"/>
    </w:rPr>
  </w:style>
  <w:style w:type="character" w:customStyle="1" w:styleId="424">
    <w:name w:val="font31"/>
    <w:basedOn w:val="231"/>
    <w:qFormat/>
    <w:uiPriority w:val="0"/>
    <w:rPr>
      <w:rFonts w:hint="eastAsia" w:ascii="仿宋_GB2312" w:eastAsia="仿宋_GB2312" w:cs="仿宋_GB2312"/>
      <w:color w:val="000000"/>
      <w:sz w:val="22"/>
      <w:szCs w:val="22"/>
      <w:u w:val="none"/>
    </w:rPr>
  </w:style>
  <w:style w:type="character" w:customStyle="1" w:styleId="425">
    <w:name w:val="font41"/>
    <w:basedOn w:val="231"/>
    <w:qFormat/>
    <w:uiPriority w:val="0"/>
    <w:rPr>
      <w:rFonts w:hint="eastAsia" w:ascii="宋体" w:hAnsi="宋体" w:eastAsia="宋体" w:cs="宋体"/>
      <w:color w:val="000000"/>
      <w:sz w:val="20"/>
      <w:szCs w:val="20"/>
      <w:u w:val="none"/>
    </w:rPr>
  </w:style>
  <w:style w:type="character" w:customStyle="1" w:styleId="426">
    <w:name w:val="font51"/>
    <w:basedOn w:val="231"/>
    <w:qFormat/>
    <w:uiPriority w:val="0"/>
    <w:rPr>
      <w:rFonts w:hint="eastAsia" w:ascii="宋体" w:hAnsi="宋体" w:eastAsia="宋体" w:cs="宋体"/>
      <w:color w:val="000000"/>
      <w:sz w:val="20"/>
      <w:szCs w:val="20"/>
      <w:u w:val="none"/>
      <w:vertAlign w:val="superscript"/>
    </w:rPr>
  </w:style>
  <w:style w:type="character" w:customStyle="1" w:styleId="427">
    <w:name w:val="font01"/>
    <w:basedOn w:val="231"/>
    <w:qFormat/>
    <w:uiPriority w:val="0"/>
    <w:rPr>
      <w:rFonts w:hint="eastAsia" w:ascii="宋体" w:hAnsi="宋体" w:eastAsia="宋体" w:cs="宋体"/>
      <w:color w:val="000000"/>
      <w:sz w:val="20"/>
      <w:szCs w:val="20"/>
      <w:u w:val="none"/>
    </w:rPr>
  </w:style>
  <w:style w:type="character" w:customStyle="1" w:styleId="428">
    <w:name w:val="font21"/>
    <w:basedOn w:val="231"/>
    <w:qFormat/>
    <w:uiPriority w:val="0"/>
    <w:rPr>
      <w:rFonts w:hint="eastAsia" w:ascii="宋体" w:hAnsi="宋体" w:eastAsia="宋体" w:cs="宋体"/>
      <w:color w:val="000000"/>
      <w:sz w:val="20"/>
      <w:szCs w:val="20"/>
      <w:u w:val="none"/>
    </w:rPr>
  </w:style>
  <w:style w:type="character" w:customStyle="1" w:styleId="429">
    <w:name w:val="正文1 Char"/>
    <w:basedOn w:val="231"/>
    <w:link w:val="409"/>
    <w:qFormat/>
    <w:uiPriority w:val="0"/>
    <w:rPr>
      <w:rFonts w:ascii="Times New Roman" w:hAnsi="Times New Roman"/>
      <w:kern w:val="2"/>
      <w:sz w:val="21"/>
      <w:szCs w:val="21"/>
    </w:rPr>
  </w:style>
  <w:style w:type="character" w:customStyle="1" w:styleId="430">
    <w:name w:val="logtext"/>
    <w:basedOn w:val="231"/>
    <w:qFormat/>
    <w:uiPriority w:val="0"/>
  </w:style>
  <w:style w:type="paragraph" w:customStyle="1" w:styleId="431">
    <w:name w:val="xl75"/>
    <w:basedOn w:val="1"/>
    <w:qFormat/>
    <w:uiPriority w:val="0"/>
    <w:pPr>
      <w:widowControl/>
      <w:adjustRightInd/>
      <w:snapToGrid/>
      <w:spacing w:before="100" w:beforeAutospacing="1" w:after="100" w:afterAutospacing="1" w:line="240" w:lineRule="auto"/>
      <w:ind w:firstLine="0" w:firstLineChars="0"/>
      <w:jc w:val="left"/>
    </w:pPr>
    <w:rPr>
      <w:rFonts w:hAnsi="宋体" w:cs="宋体"/>
      <w:kern w:val="0"/>
      <w:sz w:val="22"/>
      <w:szCs w:val="22"/>
    </w:rPr>
  </w:style>
  <w:style w:type="paragraph" w:customStyle="1" w:styleId="432">
    <w:name w:val="xl76"/>
    <w:basedOn w:val="1"/>
    <w:qFormat/>
    <w:uiPriority w:val="0"/>
    <w:pPr>
      <w:widowControl/>
      <w:adjustRightInd/>
      <w:snapToGrid/>
      <w:spacing w:before="100" w:beforeAutospacing="1" w:after="100" w:afterAutospacing="1" w:line="240" w:lineRule="auto"/>
      <w:ind w:firstLine="0" w:firstLineChars="0"/>
      <w:jc w:val="left"/>
    </w:pPr>
    <w:rPr>
      <w:rFonts w:hAnsi="宋体" w:cs="宋体"/>
      <w:b/>
      <w:bCs/>
      <w:kern w:val="0"/>
      <w:sz w:val="22"/>
      <w:szCs w:val="22"/>
    </w:rPr>
  </w:style>
  <w:style w:type="paragraph" w:customStyle="1" w:styleId="433">
    <w:name w:val="xl77"/>
    <w:basedOn w:val="1"/>
    <w:qFormat/>
    <w:uiPriority w:val="0"/>
    <w:pPr>
      <w:widowControl/>
      <w:adjustRightInd/>
      <w:snapToGrid/>
      <w:spacing w:before="100" w:beforeAutospacing="1" w:after="100" w:afterAutospacing="1" w:line="240" w:lineRule="auto"/>
      <w:ind w:firstLine="0" w:firstLineChars="0"/>
      <w:jc w:val="left"/>
    </w:pPr>
    <w:rPr>
      <w:rFonts w:ascii="宋体" w:hAnsi="宋体" w:eastAsia="宋体" w:cs="宋体"/>
      <w:kern w:val="0"/>
      <w:sz w:val="22"/>
      <w:szCs w:val="22"/>
    </w:rPr>
  </w:style>
  <w:style w:type="paragraph" w:customStyle="1" w:styleId="434">
    <w:name w:val="8.0 表格"/>
    <w:basedOn w:val="435"/>
    <w:qFormat/>
    <w:uiPriority w:val="0"/>
    <w:pPr>
      <w:ind w:firstLine="0" w:firstLineChars="0"/>
      <w:jc w:val="center"/>
    </w:pPr>
  </w:style>
  <w:style w:type="paragraph" w:customStyle="1" w:styleId="435">
    <w:name w:val="5.0"/>
    <w:basedOn w:val="1"/>
    <w:qFormat/>
    <w:uiPriority w:val="0"/>
    <w:pPr>
      <w:jc w:val="left"/>
    </w:pPr>
    <w:rPr>
      <w:rFonts w:eastAsia="宋体"/>
      <w:kern w:val="24"/>
    </w:rPr>
  </w:style>
  <w:style w:type="paragraph" w:customStyle="1" w:styleId="436">
    <w:name w:val="图表名"/>
    <w:basedOn w:val="1"/>
    <w:qFormat/>
    <w:uiPriority w:val="0"/>
    <w:pPr>
      <w:spacing w:line="440" w:lineRule="exact"/>
      <w:ind w:firstLine="0" w:firstLineChars="0"/>
      <w:jc w:val="center"/>
    </w:pPr>
    <w:rPr>
      <w:rFonts w:eastAsia="宋体"/>
      <w:b/>
      <w:sz w:val="21"/>
    </w:rPr>
  </w:style>
  <w:style w:type="paragraph" w:customStyle="1" w:styleId="437">
    <w:name w:val="正文缩2"/>
    <w:qFormat/>
    <w:uiPriority w:val="0"/>
    <w:pPr>
      <w:spacing w:line="360" w:lineRule="auto"/>
      <w:ind w:firstLine="240" w:firstLineChars="100"/>
    </w:pPr>
    <w:rPr>
      <w:rFonts w:ascii="Times New Roman" w:hAnsi="Times New Roman" w:eastAsia="宋体" w:cs="Times New Roman"/>
      <w:color w:val="FF0000"/>
      <w:kern w:val="0"/>
      <w:sz w:val="24"/>
      <w:szCs w:val="24"/>
      <w:lang w:val="en-US" w:eastAsia="zh-CN" w:bidi="ar-SA"/>
    </w:rPr>
  </w:style>
  <w:style w:type="character" w:customStyle="1" w:styleId="438">
    <w:name w:val="font91"/>
    <w:basedOn w:val="231"/>
    <w:qFormat/>
    <w:uiPriority w:val="0"/>
    <w:rPr>
      <w:rFonts w:hint="eastAsia" w:ascii="仿宋" w:hAnsi="仿宋" w:eastAsia="仿宋" w:cs="仿宋"/>
      <w:color w:val="000000"/>
      <w:sz w:val="24"/>
      <w:szCs w:val="24"/>
      <w:u w:val="none"/>
      <w:vertAlign w:val="superscript"/>
    </w:rPr>
  </w:style>
  <w:style w:type="character" w:customStyle="1" w:styleId="439">
    <w:name w:val="font61"/>
    <w:basedOn w:val="231"/>
    <w:qFormat/>
    <w:uiPriority w:val="0"/>
    <w:rPr>
      <w:rFonts w:hint="eastAsia" w:ascii="仿宋" w:hAnsi="仿宋" w:eastAsia="仿宋" w:cs="仿宋"/>
      <w:color w:val="000000"/>
      <w:sz w:val="24"/>
      <w:szCs w:val="24"/>
      <w:u w:val="none"/>
      <w:vertAlign w:val="superscript"/>
    </w:rPr>
  </w:style>
  <w:style w:type="character" w:customStyle="1" w:styleId="440">
    <w:name w:val="font71"/>
    <w:basedOn w:val="231"/>
    <w:qFormat/>
    <w:uiPriority w:val="0"/>
    <w:rPr>
      <w:rFonts w:hint="eastAsia" w:ascii="仿宋" w:hAnsi="仿宋" w:eastAsia="仿宋" w:cs="仿宋"/>
      <w:color w:val="000000"/>
      <w:sz w:val="24"/>
      <w:szCs w:val="24"/>
      <w:u w:val="none"/>
      <w:vertAlign w:val="superscript"/>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4" Type="http://schemas.openxmlformats.org/officeDocument/2006/relationships/fontTable" Target="fontTable.xml"/><Relationship Id="rId43" Type="http://schemas.openxmlformats.org/officeDocument/2006/relationships/customXml" Target="../customXml/item2.xml"/><Relationship Id="rId42" Type="http://schemas.openxmlformats.org/officeDocument/2006/relationships/numbering" Target="numbering.xml"/><Relationship Id="rId41" Type="http://schemas.openxmlformats.org/officeDocument/2006/relationships/customXml" Target="../customXml/item1.xml"/><Relationship Id="rId40" Type="http://schemas.openxmlformats.org/officeDocument/2006/relationships/image" Target="media/image29.jpeg"/><Relationship Id="rId4" Type="http://schemas.openxmlformats.org/officeDocument/2006/relationships/endnotes" Target="endnotes.xml"/><Relationship Id="rId39" Type="http://schemas.openxmlformats.org/officeDocument/2006/relationships/image" Target="media/image28.png"/><Relationship Id="rId38" Type="http://schemas.openxmlformats.org/officeDocument/2006/relationships/image" Target="media/image27.emf"/><Relationship Id="rId37" Type="http://schemas.openxmlformats.org/officeDocument/2006/relationships/oleObject" Target="embeddings/oleObject4.bin"/><Relationship Id="rId36" Type="http://schemas.openxmlformats.org/officeDocument/2006/relationships/image" Target="media/image26.emf"/><Relationship Id="rId35" Type="http://schemas.openxmlformats.org/officeDocument/2006/relationships/oleObject" Target="embeddings/oleObject3.bin"/><Relationship Id="rId34" Type="http://schemas.openxmlformats.org/officeDocument/2006/relationships/image" Target="media/image25.emf"/><Relationship Id="rId33" Type="http://schemas.openxmlformats.org/officeDocument/2006/relationships/oleObject" Target="embeddings/oleObject2.bin"/><Relationship Id="rId32" Type="http://schemas.openxmlformats.org/officeDocument/2006/relationships/image" Target="media/image24.emf"/><Relationship Id="rId31" Type="http://schemas.openxmlformats.org/officeDocument/2006/relationships/oleObject" Target="embeddings/oleObject1.bin"/><Relationship Id="rId30" Type="http://schemas.openxmlformats.org/officeDocument/2006/relationships/image" Target="media/image23.jpeg"/><Relationship Id="rId3" Type="http://schemas.openxmlformats.org/officeDocument/2006/relationships/footnotes" Target="footnotes.xml"/><Relationship Id="rId29" Type="http://schemas.openxmlformats.org/officeDocument/2006/relationships/image" Target="media/image22.jpeg"/><Relationship Id="rId28" Type="http://schemas.openxmlformats.org/officeDocument/2006/relationships/image" Target="media/image21.jpeg"/><Relationship Id="rId27" Type="http://schemas.openxmlformats.org/officeDocument/2006/relationships/image" Target="media/image20.jpeg"/><Relationship Id="rId26" Type="http://schemas.openxmlformats.org/officeDocument/2006/relationships/image" Target="media/image19.jpeg"/><Relationship Id="rId25" Type="http://schemas.openxmlformats.org/officeDocument/2006/relationships/image" Target="media/image18.jpeg"/><Relationship Id="rId24" Type="http://schemas.openxmlformats.org/officeDocument/2006/relationships/image" Target="media/image17.jpeg"/><Relationship Id="rId23" Type="http://schemas.openxmlformats.org/officeDocument/2006/relationships/image" Target="media/image16.jpeg"/><Relationship Id="rId22" Type="http://schemas.openxmlformats.org/officeDocument/2006/relationships/image" Target="media/image15.jpeg"/><Relationship Id="rId21" Type="http://schemas.openxmlformats.org/officeDocument/2006/relationships/image" Target="media/image14.jpe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textRotate="1"/>
    <customShpInfo spid="_x0000_s1242"/>
    <customShpInfo spid="_x0000_s1243"/>
    <customShpInfo spid="_x0000_s1244"/>
    <customShpInfo spid="_x0000_s1245"/>
    <customShpInfo spid="_x0000_s1246"/>
    <customShpInfo spid="_x0000_s1247"/>
    <customShpInfo spid="_x0000_s1248"/>
    <customShpInfo spid="_x0000_s1249"/>
    <customShpInfo spid="_x0000_s1250"/>
    <customShpInfo spid="_x0000_s1251"/>
    <customShpInfo spid="_x0000_s1252"/>
    <customShpInfo spid="_x0000_s1253"/>
    <customShpInfo spid="_x0000_s1254"/>
    <customShpInfo spid="_x0000_s1255"/>
    <customShpInfo spid="_x0000_s1257"/>
    <customShpInfo spid="_x0000_s1258"/>
    <customShpInfo spid="_x0000_s1256"/>
    <customShpInfo spid="_x0000_s1260"/>
    <customShpInfo spid="_x0000_s1261"/>
    <customShpInfo spid="_x0000_s1259"/>
    <customShpInfo spid="_x0000_s1263"/>
    <customShpInfo spid="_x0000_s1264"/>
    <customShpInfo spid="_x0000_s1262"/>
    <customShpInfo spid="_x0000_s1266"/>
    <customShpInfo spid="_x0000_s1267"/>
    <customShpInfo spid="_x0000_s1265"/>
    <customShpInfo spid="_x0000_s1269"/>
    <customShpInfo spid="_x0000_s1270"/>
    <customShpInfo spid="_x0000_s1268"/>
    <customShpInfo spid="_x0000_s1272"/>
    <customShpInfo spid="_x0000_s1273"/>
    <customShpInfo spid="_x0000_s1271"/>
    <customShpInfo spid="_x0000_s1274"/>
    <customShpInfo spid="_x0000_s1275"/>
    <customShpInfo spid="_x0000_s1276"/>
    <customShpInfo spid="_x0000_s1277"/>
    <customShpInfo spid="_x0000_s1278"/>
    <customShpInfo spid="_x0000_s1279"/>
    <customShpInfo spid="_x0000_s1280"/>
    <customShpInfo spid="_x0000_s1281"/>
    <customShpInfo spid="_x0000_s1282"/>
    <customShpInfo spid="_x0000_s1283"/>
    <customShpInfo spid="_x0000_s124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F8C3DAC-BF37-4517-A635-188A231DC4BE}">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26</Pages>
  <Words>14223</Words>
  <Characters>15860</Characters>
  <Lines>587</Lines>
  <Paragraphs>165</Paragraphs>
  <TotalTime>0</TotalTime>
  <ScaleCrop>false</ScaleCrop>
  <LinksUpToDate>false</LinksUpToDate>
  <CharactersWithSpaces>15905</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2018-08-22T07:33:00Z</dcterms:created>
  <dc:creator>xbany</dc:creator>
  <cp:lastModifiedBy>嘘</cp:lastModifiedBy>
  <cp:lastPrinted>2023-11-21T08:36:00Z</cp:lastPrinted>
  <dcterms:modified xsi:type="dcterms:W3CDTF">2025-04-29T04:46:08Z</dcterms:modified>
  <cp:revision>974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7B0042FB940B4EC482AB9BB0F0AF0824</vt:lpwstr>
  </property>
  <property fmtid="{D5CDD505-2E9C-101B-9397-08002B2CF9AE}" pid="4" name="KSOTemplateDocerSaveRecord">
    <vt:lpwstr>eyJoZGlkIjoiNDE0OGI1NzBiNzk2ZDU5YTcyZWJhZTExMmRhNzk3ZDciLCJ1c2VySWQiOiI1OTczODAxNDAifQ==</vt:lpwstr>
  </property>
</Properties>
</file>